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753C" w:rsidRDefault="00000000">
      <w:pPr>
        <w:spacing w:line="444" w:lineRule="auto"/>
        <w:jc w:val="center"/>
        <w:rPr>
          <w:rFonts w:ascii="Times New Roman" w:eastAsia="Times New Roman" w:hAnsi="Times New Roman" w:cs="Times New Roman"/>
          <w:b/>
        </w:rPr>
      </w:pPr>
      <w:r>
        <w:rPr>
          <w:rFonts w:ascii="Times New Roman" w:eastAsia="Times New Roman" w:hAnsi="Times New Roman" w:cs="Times New Roman"/>
          <w:b/>
          <w:sz w:val="30"/>
          <w:szCs w:val="30"/>
        </w:rPr>
        <w:t xml:space="preserve">Public Defense and </w:t>
      </w:r>
      <w:r>
        <w:rPr>
          <w:rFonts w:ascii="Times New Roman" w:eastAsia="Times New Roman" w:hAnsi="Times New Roman" w:cs="Times New Roman"/>
          <w:b/>
          <w:i/>
          <w:sz w:val="30"/>
          <w:szCs w:val="30"/>
        </w:rPr>
        <w:t>Padilla</w:t>
      </w:r>
      <w:r>
        <w:rPr>
          <w:rFonts w:ascii="Times New Roman" w:eastAsia="Times New Roman" w:hAnsi="Times New Roman" w:cs="Times New Roman"/>
          <w:b/>
          <w:sz w:val="30"/>
          <w:szCs w:val="30"/>
        </w:rPr>
        <w:t>: Structures and issues at state-level offices</w:t>
      </w:r>
    </w:p>
    <w:p w:rsidR="008A753C" w:rsidRDefault="00000000">
      <w:pPr>
        <w:spacing w:line="444" w:lineRule="auto"/>
        <w:jc w:val="center"/>
        <w:rPr>
          <w:rFonts w:ascii="Times New Roman" w:eastAsia="Times New Roman" w:hAnsi="Times New Roman" w:cs="Times New Roman"/>
        </w:rPr>
      </w:pPr>
      <w:r>
        <w:rPr>
          <w:rFonts w:ascii="Times New Roman" w:eastAsia="Times New Roman" w:hAnsi="Times New Roman" w:cs="Times New Roman"/>
          <w:i/>
        </w:rPr>
        <w:tab/>
      </w:r>
      <w:r>
        <w:rPr>
          <w:rFonts w:ascii="Times New Roman" w:eastAsia="Times New Roman" w:hAnsi="Times New Roman" w:cs="Times New Roman"/>
        </w:rPr>
        <w:t>Hannah Trumbull</w:t>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Fifteen years ago, in </w:t>
      </w:r>
      <w:r>
        <w:rPr>
          <w:rFonts w:ascii="Times New Roman" w:eastAsia="Times New Roman" w:hAnsi="Times New Roman" w:cs="Times New Roman"/>
          <w:i/>
          <w:sz w:val="24"/>
          <w:szCs w:val="24"/>
        </w:rPr>
        <w:t>Padilla v. Kentucky</w:t>
      </w:r>
      <w:r>
        <w:rPr>
          <w:rFonts w:ascii="Times New Roman" w:eastAsia="Times New Roman" w:hAnsi="Times New Roman" w:cs="Times New Roman"/>
          <w:sz w:val="24"/>
          <w:szCs w:val="24"/>
        </w:rPr>
        <w:t>, the Supreme Court decided that constitutionally adequate representation of noncitizens in criminal cases requires advice on the immigration consequences of plea deals.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The Court reasoned that although immigration consequences are “collateral” to criminal charges, they are so important to defendants and so closely tied to the criminal process as to implicate the Sixth Amendment’s protection.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Commenters at the time described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as the “most important right to counsel case since Gideon,”</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a “revolutionary shift in perspective and daily practice.”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Today, however, some suspect that the shift has been less than revolutionary. In the words of immigration scholar </w:t>
      </w:r>
      <w:proofErr w:type="spellStart"/>
      <w:r>
        <w:rPr>
          <w:rFonts w:ascii="Times New Roman" w:eastAsia="Times New Roman" w:hAnsi="Times New Roman" w:cs="Times New Roman"/>
          <w:sz w:val="24"/>
          <w:szCs w:val="24"/>
        </w:rPr>
        <w:t>Cesár</w:t>
      </w:r>
      <w:proofErr w:type="spellEnd"/>
      <w:r>
        <w:rPr>
          <w:rFonts w:ascii="Times New Roman" w:eastAsia="Times New Roman" w:hAnsi="Times New Roman" w:cs="Times New Roman"/>
          <w:sz w:val="24"/>
          <w:szCs w:val="24"/>
        </w:rPr>
        <w:t xml:space="preserve"> Cuauhtémoc García Hernández, “[defense lawyers] know they’re supposed to say something, but they’re often saying as little as possible. Mostly because it’s a lot of work.”</w:t>
      </w:r>
      <w:r>
        <w:rPr>
          <w:rFonts w:ascii="Times New Roman" w:eastAsia="Times New Roman" w:hAnsi="Times New Roman" w:cs="Times New Roman"/>
          <w:sz w:val="24"/>
          <w:szCs w:val="24"/>
          <w:vertAlign w:val="superscript"/>
        </w:rPr>
        <w:footnoteReference w:id="5"/>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Recently, academic research has begun to examine the impact of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in practice.</w:t>
      </w:r>
      <w:r w:rsidR="00743E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their seminal article </w:t>
      </w:r>
      <w:r>
        <w:rPr>
          <w:rFonts w:ascii="Times New Roman" w:eastAsia="Times New Roman" w:hAnsi="Times New Roman" w:cs="Times New Roman"/>
          <w:i/>
          <w:sz w:val="24"/>
          <w:szCs w:val="24"/>
        </w:rPr>
        <w:t xml:space="preserve">Restructuring Public Defense After </w:t>
      </w:r>
      <w:r>
        <w:rPr>
          <w:rFonts w:ascii="Times New Roman" w:eastAsia="Times New Roman" w:hAnsi="Times New Roman" w:cs="Times New Roman"/>
          <w:sz w:val="24"/>
          <w:szCs w:val="24"/>
        </w:rPr>
        <w:t>Padilla, Ingrid Eagly and her colleagues examined how public defenders in every county of California managed representation of noncitizens in criminal trials.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Eagly chose California for its high immigrant population and delegation of public defense policy decisions to its counties, making each county a “laboratory for local experimentation with the representation of immigrants charged with crimes.”</w:t>
      </w:r>
      <w:r>
        <w:rPr>
          <w:rFonts w:ascii="Times New Roman" w:eastAsia="Times New Roman" w:hAnsi="Times New Roman" w:cs="Times New Roman"/>
          <w:sz w:val="24"/>
          <w:szCs w:val="24"/>
          <w:vertAlign w:val="superscript"/>
        </w:rPr>
        <w:footnoteReference w:id="7"/>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expands on </w:t>
      </w:r>
      <w:proofErr w:type="spellStart"/>
      <w:r>
        <w:rPr>
          <w:rFonts w:ascii="Times New Roman" w:eastAsia="Times New Roman" w:hAnsi="Times New Roman" w:cs="Times New Roman"/>
          <w:sz w:val="24"/>
          <w:szCs w:val="24"/>
        </w:rPr>
        <w:t>Eagly’s</w:t>
      </w:r>
      <w:proofErr w:type="spellEnd"/>
      <w:r>
        <w:rPr>
          <w:rFonts w:ascii="Times New Roman" w:eastAsia="Times New Roman" w:hAnsi="Times New Roman" w:cs="Times New Roman"/>
          <w:sz w:val="24"/>
          <w:szCs w:val="24"/>
        </w:rPr>
        <w:t xml:space="preserve"> research by documenting public defenders’ approaches to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in states that organize public defense at the state level. While the federal constitution </w:t>
      </w:r>
      <w:r>
        <w:rPr>
          <w:rFonts w:ascii="Times New Roman" w:eastAsia="Times New Roman" w:hAnsi="Times New Roman" w:cs="Times New Roman"/>
          <w:sz w:val="24"/>
          <w:szCs w:val="24"/>
        </w:rPr>
        <w:lastRenderedPageBreak/>
        <w:t>requires states to provide attorneys to indigents facing criminal charges,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states are free to structure the provision of indigent defense as they wish.</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In total, twenty states organize public defense at the state level for all crimes likely to carry immigration consequences.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In addition to using a different public defense mechanism, these states also differ from California in their substantive criminal law and protections of noncitizens.</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While some of these states have relatively small immigrant populations, their public defenders still must meet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’s mandate for each noncitizen client.</w:t>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makes four significant findings. First, the structures used in states surveyed are similar to what Eagly noted in California counties, with widespread use of expert consultants, screening questions, and, in some cases, policy advocacy.</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Second, new data on advisal numbers in five states suggest that some states are likely failing to identify noncitizen clients,</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an issue that better screening procedures could fix. Third, in several states surveyed, the caseloads of immigration experts are higher than Eagly recommended.</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Fourth, there is an unmet need for better training and networking for public defenders managing their state’s representation of noncitizens, particularly given increased enforcement in the second Trump administration.</w:t>
      </w:r>
    </w:p>
    <w:p w:rsidR="008A753C" w:rsidRDefault="00000000">
      <w:pPr>
        <w:numPr>
          <w:ilvl w:val="0"/>
          <w:numId w:val="2"/>
        </w:numPr>
        <w:spacing w:line="44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paper is based on information gathered through a combination of email, phone, and virtual video interviews with individuals involved in the provision of public defense in each state. I asked the experts loosely structured questions, borrowing subject matter from Eagly and her colleagues.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I also asked respondents to send me copies of any documents they were willing to share, and supplemented the interviews with independent research.</w:t>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total, I was able to contact and interview experts in 17 out of 20 states with state-level public defense services. Appendix A and Part 2, below, summarize my findings. I spoke with state chief public defenders, training and professional development experts, in-house immigration experts, and line attorneys. The majority of respondents were passionate about representation of noncitizens in criminal matters, and knowledgeable about their state’s systems. However, a few people I spoke with had limited knowledge on this issue, and my calls and emails were ignored in the three states I was unable to reach.</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The information in this paper is limited by the knowledge of respondents, and their willingness to answer my questions. </w:t>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Part 3 of this </w:t>
      </w:r>
      <w:proofErr w:type="gramStart"/>
      <w:r>
        <w:rPr>
          <w:rFonts w:ascii="Times New Roman" w:eastAsia="Times New Roman" w:hAnsi="Times New Roman" w:cs="Times New Roman"/>
          <w:sz w:val="24"/>
          <w:szCs w:val="24"/>
        </w:rPr>
        <w:t>paper</w:t>
      </w:r>
      <w:proofErr w:type="gramEnd"/>
      <w:r>
        <w:rPr>
          <w:rFonts w:ascii="Times New Roman" w:eastAsia="Times New Roman" w:hAnsi="Times New Roman" w:cs="Times New Roman"/>
          <w:sz w:val="24"/>
          <w:szCs w:val="24"/>
        </w:rPr>
        <w:t xml:space="preserve"> I assess issues in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structures, in part by comparing state resources proportional to client populations. To do so, I use census data on the foreign-born population of each state, determined by multiplying the census percent foreign-born by the total state population.</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This number is flawed for assessing the population that might need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for several reasons: not all foreign-born people are noncitizens,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census data may not accurately count undocumented people,</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and prosecution rates may be more closely related to </w:t>
      </w:r>
      <w:r>
        <w:rPr>
          <w:rFonts w:ascii="Times New Roman" w:eastAsia="Times New Roman" w:hAnsi="Times New Roman" w:cs="Times New Roman"/>
          <w:sz w:val="24"/>
          <w:szCs w:val="24"/>
        </w:rPr>
        <w:lastRenderedPageBreak/>
        <w:t>the racial make-up of a state’s noncitizen population than to the number of foreign-born individuals in that state.</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Still, for purposes of this paper, the foreign-born population provides an adequate baseline for comparing states to each other at a high level.</w:t>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Some individuals I spoke with for this paper feared retribution from the federal government if they spoke publicly about certain immigration issues, and asked me to only quote them anonymously. To that end, I have declined to cite specific sources for some statements that could put attorneys at risk.</w:t>
      </w:r>
    </w:p>
    <w:p w:rsidR="008A753C" w:rsidRDefault="00000000">
      <w:pPr>
        <w:numPr>
          <w:ilvl w:val="0"/>
          <w:numId w:val="2"/>
        </w:numPr>
        <w:spacing w:line="44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Structuring Criminal Representation of Noncitizens</w:t>
      </w:r>
    </w:p>
    <w:p w:rsidR="008A753C" w:rsidRDefault="00000000">
      <w:pPr>
        <w:spacing w:line="444"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To meet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’s mandate, public defenders must identify noncitizens, determine the immigration consequences of potential plea deals, and communicate that information to clients sufficiently to allow them to make an informed decision. The ways in which state-level public defense systems achieve those goals are summarized in Appendix A, with some points of interest briefly described here.</w:t>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noncitizens, about half of states with state-level public defense organizations require attorneys to ask clients a citizenship screening question in their initial conversation with each client.</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However, defenders report that many clients do not accurately know or report their own immigration status.</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Additionally, some clients who know their immigration status do not trust their public defenders enough to share it, and may not communicate their status until the final stages of a case.</w:t>
      </w:r>
    </w:p>
    <w:p w:rsidR="008A753C" w:rsidRDefault="00000000">
      <w:pPr>
        <w:spacing w:line="444"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 try to identify all noncitizens early in case development, some states like Hawaii train attorneys to ask first where each client was born, and then more questions about their </w:t>
      </w:r>
      <w:r>
        <w:rPr>
          <w:rFonts w:ascii="Times New Roman" w:eastAsia="Times New Roman" w:hAnsi="Times New Roman" w:cs="Times New Roman"/>
          <w:sz w:val="24"/>
          <w:szCs w:val="24"/>
        </w:rPr>
        <w:lastRenderedPageBreak/>
        <w:t>immigration to the United States.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Using that information, attorneys are then expected to investigate status to provide accurate information.</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However, other states simply rely on line attorneys’ discretion to identify which clients need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and which do not.</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This can be an issue because, like the rest of the population, attorneys are subject to stereotypes and misconceptions about immigration and citizenship.</w:t>
      </w:r>
      <w:r>
        <w:rPr>
          <w:rFonts w:ascii="Times New Roman" w:eastAsia="Times New Roman" w:hAnsi="Times New Roman" w:cs="Times New Roman"/>
          <w:sz w:val="24"/>
          <w:szCs w:val="24"/>
          <w:vertAlign w:val="superscript"/>
        </w:rPr>
        <w:footnoteReference w:id="26"/>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noncitizens are identified, their attorney either conducts independent research or consults with an expert to determine immigration consequences of their case. Almost all states with state-level public defense organizations have a state-level structure for the use of experts to provide consultations for line attorneys on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issues.</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Some states use in-house experts, while others contract with nonprofits or private attorneys.</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The subject interviewed for this paper generally believed that in-house experts were preferable to external experts, and subjects in several states with external experts were actively seeking funding for in-house experts. In most states, the official policy is that line attorneys should seek an expert consultation for every noncitizen client.</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However, this is not the case in every state. Iowa has an in-house expert, but the state organization has no official policy requiring line attorneys to seek consultation.</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lastRenderedPageBreak/>
        <w:t>Missouri, there is no structured relationship with experts, and no official policy requiring expert consultation at all.</w:t>
      </w:r>
      <w:r>
        <w:rPr>
          <w:rFonts w:ascii="Times New Roman" w:eastAsia="Times New Roman" w:hAnsi="Times New Roman" w:cs="Times New Roman"/>
          <w:sz w:val="24"/>
          <w:szCs w:val="24"/>
          <w:vertAlign w:val="superscript"/>
        </w:rPr>
        <w:footnoteReference w:id="31"/>
      </w:r>
    </w:p>
    <w:p w:rsidR="008A753C" w:rsidRDefault="00000000">
      <w:pPr>
        <w:spacing w:line="444"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To share information with experts, many states use forms that line attorneys fill out when they identify noncitizens.</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Experts use that information to write up a memo about possible consequences and alternatives, and send it back to the line attorney to meet with the client.</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Some states use very thorough forms to try to get as accurate of information as possible, including questions about the client’s history, mental health, and life experiences.</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Maryland used to be one such state, until leaders noticed that attorneys were leaving their forms mostly blank.</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They shortened their form to just seven questions and had their experts address ambiguity and different possibilities in their responses, which they say has significantly increased attorney use of expert services.</w:t>
      </w:r>
      <w:r>
        <w:rPr>
          <w:rFonts w:ascii="Times New Roman" w:eastAsia="Times New Roman" w:hAnsi="Times New Roman" w:cs="Times New Roman"/>
          <w:sz w:val="24"/>
          <w:szCs w:val="24"/>
          <w:vertAlign w:val="superscript"/>
        </w:rPr>
        <w:footnoteReference w:id="36"/>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content of basic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seems similar between states, which Eagly noted in her article was also true between different California counties.</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Regarding timing, experts agree that attorneys should determine citizenship as early as possible in representation to develop mitigating evidence and to help with later immigration-friendly plea negotiations.  While most states train attorneys to ask about citizenship in initial interviews, experts report, with some frustration, that line attorneys often wait to reach out until plea negotiations begin or until sentencing is set.</w:t>
      </w:r>
      <w:r>
        <w:rPr>
          <w:rFonts w:ascii="Times New Roman" w:eastAsia="Times New Roman" w:hAnsi="Times New Roman" w:cs="Times New Roman"/>
          <w:sz w:val="24"/>
          <w:szCs w:val="24"/>
          <w:vertAlign w:val="superscript"/>
        </w:rPr>
        <w:footnoteReference w:id="38"/>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Beyond criminal trials, some public defender offices with robust immigration resources engage in policy work</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on immigration issues. Massachusetts, for example, has advocated for the Safe Communities Act, which prohibits questioning by police and courts about immigration status, increases protections in immigration enforcement interviews, and prevents law enforcement from initiating contact with the department of homeland security related to the release of an incarcerated person.</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Other defenders advocate in the legislature to craft criminal statutes in ways that will help avoid immigration consequences, or put out statements opposing legislation to make state sheriffs 278(b) signatories.</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Public defenders in more liberal states are more likely to report doing policy advocacy on immigration issues.</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xml:space="preserve"> Some experts reported that hostile attitudes towards immigrants in their states limit the possibilities for policy work.</w:t>
      </w:r>
      <w:r>
        <w:rPr>
          <w:rFonts w:ascii="Times New Roman" w:eastAsia="Times New Roman" w:hAnsi="Times New Roman" w:cs="Times New Roman"/>
          <w:sz w:val="24"/>
          <w:szCs w:val="24"/>
          <w:vertAlign w:val="superscript"/>
        </w:rPr>
        <w:footnoteReference w:id="43"/>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public defenders are not able to represent clients in immigration proceedings, one expert told me that they also include information in their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memos to help the client in future immigration proceedings where they are likely to be unrepresented.</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Many of my subjects reported frustration with their inability to support in immigration proceedings.</w:t>
      </w:r>
      <w:r>
        <w:rPr>
          <w:rFonts w:ascii="Times New Roman" w:eastAsia="Times New Roman" w:hAnsi="Times New Roman" w:cs="Times New Roman"/>
          <w:color w:val="222222"/>
          <w:sz w:val="24"/>
          <w:szCs w:val="24"/>
          <w:highlight w:val="white"/>
          <w:vertAlign w:val="superscript"/>
        </w:rPr>
        <w:footnoteReference w:id="45"/>
      </w:r>
      <w:r>
        <w:rPr>
          <w:rFonts w:ascii="Times New Roman" w:eastAsia="Times New Roman" w:hAnsi="Times New Roman" w:cs="Times New Roman"/>
          <w:sz w:val="24"/>
          <w:szCs w:val="24"/>
        </w:rPr>
        <w:t xml:space="preserve"> As Iowa’s expert put it, “</w:t>
      </w:r>
      <w:r>
        <w:rPr>
          <w:rFonts w:ascii="Times New Roman" w:eastAsia="Times New Roman" w:hAnsi="Times New Roman" w:cs="Times New Roman"/>
          <w:color w:val="222222"/>
          <w:sz w:val="24"/>
          <w:szCs w:val="24"/>
          <w:highlight w:val="white"/>
        </w:rPr>
        <w:t>Even when we do very strong work on the criminal case side, if the client doesn't have informed advocacy in immigration court our work just doesn't always matter.”</w:t>
      </w:r>
      <w:r>
        <w:rPr>
          <w:rFonts w:ascii="Times New Roman" w:eastAsia="Times New Roman" w:hAnsi="Times New Roman" w:cs="Times New Roman"/>
          <w:color w:val="222222"/>
          <w:sz w:val="24"/>
          <w:szCs w:val="24"/>
          <w:highlight w:val="white"/>
          <w:vertAlign w:val="superscript"/>
        </w:rPr>
        <w:footnoteReference w:id="46"/>
      </w:r>
    </w:p>
    <w:p w:rsidR="008A753C" w:rsidRDefault="00000000">
      <w:pPr>
        <w:numPr>
          <w:ilvl w:val="0"/>
          <w:numId w:val="2"/>
        </w:numPr>
        <w:spacing w:line="44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Major Issues</w:t>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My research showed significant problems with states’ abilities to identify noncitizen clients, lack of funding for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experts leading to caseload issues, rapidly changing federal law and policy, and an unmet need for networking opportunities between states.</w:t>
      </w:r>
    </w:p>
    <w:p w:rsidR="008A753C" w:rsidRDefault="00000000">
      <w:pPr>
        <w:numPr>
          <w:ilvl w:val="0"/>
          <w:numId w:val="1"/>
        </w:numPr>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Likely Failures to Identify Noncitizens</w:t>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Preliminary data suggests that states may be failing to identify all clients who should receive </w:t>
      </w:r>
      <w:r>
        <w:rPr>
          <w:rFonts w:ascii="Times New Roman" w:eastAsia="Times New Roman" w:hAnsi="Times New Roman" w:cs="Times New Roman"/>
          <w:i/>
          <w:sz w:val="24"/>
          <w:szCs w:val="24"/>
        </w:rPr>
        <w:t xml:space="preserve">Padilla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Most of the in-house immigration experts I spoke with mentioned how challenging it was to make sure line attorneys identified and referred all noncitizen clients for assistance.</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 xml:space="preserve"> Eagly noted a similar issue in California, but dedicated little space to its analysis.</w:t>
      </w:r>
      <w:r>
        <w:rPr>
          <w:rFonts w:ascii="Times New Roman" w:eastAsia="Times New Roman" w:hAnsi="Times New Roman" w:cs="Times New Roman"/>
          <w:sz w:val="24"/>
          <w:szCs w:val="24"/>
          <w:vertAlign w:val="superscript"/>
        </w:rPr>
        <w:footnoteReference w:id="48"/>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not possible to identify the “right” expected number of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per year given the lack of data, some numbers are so low as to strongly indicate a failure to identify and advise some noncitizen clients. Since July 1, 2023, North Dakota’s public defender has provided only 124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which amounts to about 67 per year.</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While North Dakota has a comparatively low foreign-born population,</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xml:space="preserve"> it has a higher foreign-born population than Vermont,</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xml:space="preserve"> where an in-house immigration expert gives 250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per year.</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This could be related to the extremely different political landscapes of North Dakota and Vermont,</w:t>
      </w:r>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or North Dakota’s dangerously low public defense budget.</w:t>
      </w:r>
      <w:r>
        <w:rPr>
          <w:rFonts w:ascii="Times New Roman" w:eastAsia="Times New Roman" w:hAnsi="Times New Roman" w:cs="Times New Roman"/>
          <w:sz w:val="24"/>
          <w:szCs w:val="24"/>
          <w:vertAlign w:val="superscript"/>
        </w:rPr>
        <w:footnoteReference w:id="54"/>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Wisconsin and Minnesota are more comparable states where experts still provide vastly different numbers of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The two states are geographic neighbors and both use in-</w:t>
      </w:r>
      <w:r>
        <w:rPr>
          <w:rFonts w:ascii="Times New Roman" w:eastAsia="Times New Roman" w:hAnsi="Times New Roman" w:cs="Times New Roman"/>
          <w:sz w:val="24"/>
          <w:szCs w:val="24"/>
        </w:rPr>
        <w:lastRenderedPageBreak/>
        <w:t xml:space="preserve">house experts for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xml:space="preserve"> They also have similar noncitizen demographics: in both states, the most common foreign birthplace is Mexico, with significant populations also born in India, Somalia, and Vietnam.</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xml:space="preserve"> Their offices have similar budgets,</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xml:space="preserve"> and comparable percentages of their populations voted for Trump in 2024.</w:t>
      </w:r>
      <w:r>
        <w:rPr>
          <w:rFonts w:ascii="Times New Roman" w:eastAsia="Times New Roman" w:hAnsi="Times New Roman" w:cs="Times New Roman"/>
          <w:sz w:val="24"/>
          <w:szCs w:val="24"/>
          <w:vertAlign w:val="superscript"/>
        </w:rPr>
        <w:footnoteReference w:id="58"/>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Despite those similarities, Minnesota provided about ten times more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per year in 2024, when controlling for foreign-born population size. Minnesota’s immigration expert receives about 20-25 referrals per day normally, which amounted to 3,735 in 2024 (this year, she received 3,800 between July 1, 2024 and March 27th, 2025, which annualizes to 5,400).</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xml:space="preserve"> Compared to Minnesota’s foreign-born population of about 500,000 individuals, this is a rate of .007 </w:t>
      </w:r>
      <w:r>
        <w:rPr>
          <w:rFonts w:ascii="Times New Roman" w:eastAsia="Times New Roman" w:hAnsi="Times New Roman" w:cs="Times New Roman"/>
          <w:i/>
          <w:sz w:val="24"/>
          <w:szCs w:val="24"/>
        </w:rPr>
        <w:t xml:space="preserve">Padilla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per foreign-born resident per year (or .011 at the 2025 rate). Wisconsin, contrastingly, has a foreign-born population of 304,000 individuals, and its two in-house immigration experts assist with about 200 total immigration consults per year.</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That amounts to just .0007 consults per foreign-born Wisconsin resident per year, or one-seventeenth the number of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per foreign-born resident compared to Minnesota.</w:t>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While it is impossible to identify causation from the type of data used here, the difference between Minnesota’s and Wisconsin’s systems for identifying noncitizens could help explain this difference. Minnesota uses a process embedded in its intake software to ensure that line </w:t>
      </w:r>
      <w:r>
        <w:rPr>
          <w:rFonts w:ascii="Times New Roman" w:eastAsia="Times New Roman" w:hAnsi="Times New Roman" w:cs="Times New Roman"/>
          <w:sz w:val="24"/>
          <w:szCs w:val="24"/>
        </w:rPr>
        <w:lastRenderedPageBreak/>
        <w:t>attorneys screen for potential citizenship issues.</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 xml:space="preserve"> Before proceeding to the next step in the intake process, the software requires attorneys to click a box saying whether the client was born in the United States or not.</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 xml:space="preserve"> If the answer is no, the attorney must fill out a form with more information that is forwarded to the state’s immigration expert.</w:t>
      </w:r>
      <w:r>
        <w:rPr>
          <w:rFonts w:ascii="Times New Roman" w:eastAsia="Times New Roman" w:hAnsi="Times New Roman" w:cs="Times New Roman"/>
          <w:sz w:val="24"/>
          <w:szCs w:val="24"/>
          <w:vertAlign w:val="superscript"/>
        </w:rPr>
        <w:footnoteReference w:id="63"/>
      </w:r>
      <w:r>
        <w:rPr>
          <w:rFonts w:ascii="Times New Roman" w:eastAsia="Times New Roman" w:hAnsi="Times New Roman" w:cs="Times New Roman"/>
          <w:sz w:val="24"/>
          <w:szCs w:val="24"/>
        </w:rPr>
        <w:t xml:space="preserve"> Minnesota’s public defense leadership emphasizes training line attorneys to screen for citizenship over learning substantive immigration law themselves, citing the complexity of the law and the risk of line attorneys overestimating their own expertise.</w:t>
      </w:r>
      <w:r>
        <w:rPr>
          <w:rFonts w:ascii="Times New Roman" w:eastAsia="Times New Roman" w:hAnsi="Times New Roman" w:cs="Times New Roman"/>
          <w:sz w:val="24"/>
          <w:szCs w:val="24"/>
          <w:vertAlign w:val="superscript"/>
        </w:rPr>
        <w:footnoteReference w:id="64"/>
      </w:r>
      <w:r>
        <w:rPr>
          <w:rFonts w:ascii="Times New Roman" w:eastAsia="Times New Roman" w:hAnsi="Times New Roman" w:cs="Times New Roman"/>
          <w:sz w:val="24"/>
          <w:szCs w:val="24"/>
        </w:rPr>
        <w:t xml:space="preserve"> Minnesota has seen referrals go up significantly since it implemented software requiring attorneys to ask every client where they were born before proceeding.</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 xml:space="preserve"> Minnesota is the only state surveyed to use this type of process, and is a high outlier for the number of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it provides per year.</w:t>
      </w:r>
      <w:r>
        <w:rPr>
          <w:rFonts w:ascii="Times New Roman" w:eastAsia="Times New Roman" w:hAnsi="Times New Roman" w:cs="Times New Roman"/>
          <w:sz w:val="24"/>
          <w:szCs w:val="24"/>
          <w:vertAlign w:val="superscript"/>
        </w:rPr>
        <w:footnoteReference w:id="66"/>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Wisconsin does not require its defenders to ask about birthplace or citizenship in its initial screening process.</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xml:space="preserve"> Staff attorneys have access to a google form which they can fill out and send to the in-house experts to receive information about immigration consequences.</w:t>
      </w:r>
      <w:r>
        <w:rPr>
          <w:rFonts w:ascii="Times New Roman" w:eastAsia="Times New Roman" w:hAnsi="Times New Roman" w:cs="Times New Roman"/>
          <w:sz w:val="24"/>
          <w:szCs w:val="24"/>
          <w:vertAlign w:val="superscript"/>
        </w:rPr>
        <w:footnoteReference w:id="68"/>
      </w:r>
      <w:r>
        <w:rPr>
          <w:rFonts w:ascii="Times New Roman" w:eastAsia="Times New Roman" w:hAnsi="Times New Roman" w:cs="Times New Roman"/>
          <w:sz w:val="24"/>
          <w:szCs w:val="24"/>
        </w:rPr>
        <w:t xml:space="preserve"> Wisconsin’s immigration experts are passionate about their jobs, and take steps like driving to local offices to provide training or even consulting with clients themselves on complex cases.</w:t>
      </w:r>
      <w:r>
        <w:rPr>
          <w:rFonts w:ascii="Times New Roman" w:eastAsia="Times New Roman" w:hAnsi="Times New Roman" w:cs="Times New Roman"/>
          <w:sz w:val="24"/>
          <w:szCs w:val="24"/>
          <w:vertAlign w:val="superscript"/>
        </w:rPr>
        <w:footnoteReference w:id="69"/>
      </w:r>
      <w:r>
        <w:rPr>
          <w:rFonts w:ascii="Times New Roman" w:eastAsia="Times New Roman" w:hAnsi="Times New Roman" w:cs="Times New Roman"/>
          <w:sz w:val="24"/>
          <w:szCs w:val="24"/>
        </w:rPr>
        <w:t xml:space="preserve"> Wisconsin’s public defenders still may be meeting their barebones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obligations by providing consultations without expert advice. However, it is also very possible that they are failing to identify all individuals who need immigration-sensitive defense that they represent.</w:t>
      </w:r>
    </w:p>
    <w:p w:rsidR="008A753C" w:rsidRDefault="00000000">
      <w:pPr>
        <w:numPr>
          <w:ilvl w:val="0"/>
          <w:numId w:val="1"/>
        </w:numPr>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Caseload Issues</w:t>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As Eagly reported, it is challenging to define an appropriate caseload for an immigration expert.</w:t>
      </w:r>
      <w:r>
        <w:rPr>
          <w:rFonts w:ascii="Times New Roman" w:eastAsia="Times New Roman" w:hAnsi="Times New Roman" w:cs="Times New Roman"/>
          <w:sz w:val="24"/>
          <w:szCs w:val="24"/>
          <w:vertAlign w:val="superscript"/>
        </w:rPr>
        <w:footnoteReference w:id="70"/>
      </w:r>
      <w:r>
        <w:rPr>
          <w:rFonts w:ascii="Times New Roman" w:eastAsia="Times New Roman" w:hAnsi="Times New Roman" w:cs="Times New Roman"/>
          <w:sz w:val="24"/>
          <w:szCs w:val="24"/>
        </w:rPr>
        <w:t xml:space="preserve"> Eagly recommended that full-time experts should not provide more than 1,500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per year, which would mean spending fifty-eight minutes on average per advisal.</w:t>
      </w:r>
      <w:r>
        <w:rPr>
          <w:rFonts w:ascii="Times New Roman" w:eastAsia="Times New Roman" w:hAnsi="Times New Roman" w:cs="Times New Roman"/>
          <w:sz w:val="24"/>
          <w:szCs w:val="24"/>
          <w:vertAlign w:val="superscript"/>
        </w:rPr>
        <w:footnoteReference w:id="71"/>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able to obtain the number of full-time employees per state in most states with in-house experts, and caseload information for five in-house immigration experts, summarized in Appendix B. The caseloads of in-house attorneys in Vermont and Hawaii are both over </w:t>
      </w:r>
      <w:proofErr w:type="spellStart"/>
      <w:r>
        <w:rPr>
          <w:rFonts w:ascii="Times New Roman" w:eastAsia="Times New Roman" w:hAnsi="Times New Roman" w:cs="Times New Roman"/>
          <w:sz w:val="24"/>
          <w:szCs w:val="24"/>
        </w:rPr>
        <w:t>Eagly’s</w:t>
      </w:r>
      <w:proofErr w:type="spellEnd"/>
      <w:r>
        <w:rPr>
          <w:rFonts w:ascii="Times New Roman" w:eastAsia="Times New Roman" w:hAnsi="Times New Roman" w:cs="Times New Roman"/>
          <w:sz w:val="24"/>
          <w:szCs w:val="24"/>
        </w:rPr>
        <w:t xml:space="preserve"> recommended caseload cap, because they function as in-house immigration experts while managing full caseloads.</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xml:space="preserve"> Vermont’s criminal immigration expert, Dawn Seibert, manages a full post-conviction caseload in addition to consulting on about 250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per year.</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xml:space="preserve"> Hawaii similarly uses two line attorneys who manage full caseloads while serving as the state’s immigration experts,</w:t>
      </w:r>
      <w:r>
        <w:rPr>
          <w:rFonts w:ascii="Times New Roman" w:eastAsia="Times New Roman" w:hAnsi="Times New Roman" w:cs="Times New Roman"/>
          <w:sz w:val="24"/>
          <w:szCs w:val="24"/>
          <w:vertAlign w:val="superscript"/>
        </w:rPr>
        <w:footnoteReference w:id="74"/>
      </w:r>
      <w:r>
        <w:rPr>
          <w:rFonts w:ascii="Times New Roman" w:eastAsia="Times New Roman" w:hAnsi="Times New Roman" w:cs="Times New Roman"/>
          <w:sz w:val="24"/>
          <w:szCs w:val="24"/>
        </w:rPr>
        <w:t xml:space="preserve"> which is particularly surprising due to its large foreign-born population. </w:t>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states with in-house experts with time dedicated to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issues, Minnesota, with 3,800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provided so far this year by one immigration expert, and Virginia, with 496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by one expert so far this year, were both other </w:t>
      </w:r>
      <w:proofErr w:type="spellStart"/>
      <w:r>
        <w:rPr>
          <w:rFonts w:ascii="Times New Roman" w:eastAsia="Times New Roman" w:hAnsi="Times New Roman" w:cs="Times New Roman"/>
          <w:sz w:val="24"/>
          <w:szCs w:val="24"/>
        </w:rPr>
        <w:t>Eagly’s</w:t>
      </w:r>
      <w:proofErr w:type="spellEnd"/>
      <w:r>
        <w:rPr>
          <w:rFonts w:ascii="Times New Roman" w:eastAsia="Times New Roman" w:hAnsi="Times New Roman" w:cs="Times New Roman"/>
          <w:sz w:val="24"/>
          <w:szCs w:val="24"/>
        </w:rPr>
        <w:t xml:space="preserve"> recommended maximum cap of 1,500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per expert per full-time employee year.</w:t>
      </w:r>
      <w:r>
        <w:rPr>
          <w:rFonts w:ascii="Times New Roman" w:eastAsia="Times New Roman" w:hAnsi="Times New Roman" w:cs="Times New Roman"/>
          <w:sz w:val="24"/>
          <w:szCs w:val="24"/>
          <w:vertAlign w:val="superscript"/>
        </w:rPr>
        <w:footnoteReference w:id="75"/>
      </w:r>
    </w:p>
    <w:p w:rsidR="008A753C" w:rsidRDefault="00000000">
      <w:pPr>
        <w:numPr>
          <w:ilvl w:val="0"/>
          <w:numId w:val="1"/>
        </w:numPr>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New Immigration Landscape</w:t>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law of immigration is changing rapidly under the second Trump administration,</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xml:space="preserve"> and public defenders are struggling to stay up to date with the consequences of those changes for </w:t>
      </w:r>
      <w:r>
        <w:rPr>
          <w:rFonts w:ascii="Times New Roman" w:eastAsia="Times New Roman" w:hAnsi="Times New Roman" w:cs="Times New Roman"/>
          <w:sz w:val="24"/>
          <w:szCs w:val="24"/>
        </w:rPr>
        <w:lastRenderedPageBreak/>
        <w:t>their clients.</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 xml:space="preserve"> Several public defenders reported increased contact between law enforcement and immigrant populations.</w:t>
      </w:r>
      <w:r>
        <w:rPr>
          <w:rFonts w:ascii="Times New Roman" w:eastAsia="Times New Roman" w:hAnsi="Times New Roman" w:cs="Times New Roman"/>
          <w:sz w:val="24"/>
          <w:szCs w:val="24"/>
          <w:vertAlign w:val="superscript"/>
        </w:rPr>
        <w:footnoteReference w:id="78"/>
      </w:r>
      <w:r>
        <w:rPr>
          <w:rFonts w:ascii="Times New Roman" w:eastAsia="Times New Roman" w:hAnsi="Times New Roman" w:cs="Times New Roman"/>
          <w:sz w:val="24"/>
          <w:szCs w:val="24"/>
        </w:rPr>
        <w:t xml:space="preserve"> Others report prosecutors pursuing immigration consequences of their clients more frequently than before. One defender in a very liberal state shared that prosecutors were more willing to negotiate with public defenders than before due to their own liberal leanings. Almost all defenders I spoke with reported increased ICE presence in courthouses.</w:t>
      </w:r>
    </w:p>
    <w:p w:rsidR="008A753C" w:rsidRDefault="00000000">
      <w:pPr>
        <w:spacing w:line="444"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Well-resourced state-level public defense organizations communicate information about these changes to line attorneys through trainings and email updates. In-house immigration experts, who typically share this information, struggle to stay informed themselves due to very limited funds for the experts to attend any external trainings.</w:t>
      </w:r>
    </w:p>
    <w:p w:rsidR="008A753C" w:rsidRDefault="00000000">
      <w:pPr>
        <w:numPr>
          <w:ilvl w:val="0"/>
          <w:numId w:val="1"/>
        </w:numPr>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Need for Training and Networking Opportunities</w:t>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Immigration experts at public defender offices are hungry for immigration-specific training and the opportunity to meet with their counterparts. Currently, no organization convenes public defense immigration experts across the country, and few experts have contact outside of their regions. At least one group, consisting of in-house immigration experts in Maryland, Virginia, and Washington, D.C., meets to discuss updates to immigration law and enforcement, and issues arising in their work.</w:t>
      </w:r>
      <w:r>
        <w:rPr>
          <w:rFonts w:ascii="Times New Roman" w:eastAsia="Times New Roman" w:hAnsi="Times New Roman" w:cs="Times New Roman"/>
          <w:sz w:val="24"/>
          <w:szCs w:val="24"/>
          <w:vertAlign w:val="superscript"/>
        </w:rPr>
        <w:footnoteReference w:id="79"/>
      </w:r>
      <w:r>
        <w:rPr>
          <w:rFonts w:ascii="Times New Roman" w:eastAsia="Times New Roman" w:hAnsi="Times New Roman" w:cs="Times New Roman"/>
          <w:sz w:val="24"/>
          <w:szCs w:val="24"/>
        </w:rPr>
        <w:t xml:space="preserve"> Participants call the meetings invaluable, and say they do not know how people do the job without them.</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 xml:space="preserve"> </w:t>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Networking and training could help public defenders discuss and resolve common questions and determine best practices. For example, public defenders vary significantly in their attitude towards tracking data on representation of noncitizens.</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xml:space="preserve"> Despite the protection of </w:t>
      </w:r>
      <w:r>
        <w:rPr>
          <w:rFonts w:ascii="Times New Roman" w:eastAsia="Times New Roman" w:hAnsi="Times New Roman" w:cs="Times New Roman"/>
          <w:sz w:val="24"/>
          <w:szCs w:val="24"/>
        </w:rPr>
        <w:lastRenderedPageBreak/>
        <w:t>attorney-client privilege, some experts are more cautious than others about tracking citizenship information in case management software. Discussing the issue between offices, no matter the resolution, could help defenders identify benefits and risks for their clients. Networking opportunities could also help bring best practices and new ideas to light, such as Minnesota’s screening system or Maryland’s seven question form.</w:t>
      </w:r>
      <w:r>
        <w:rPr>
          <w:rFonts w:ascii="Times New Roman" w:eastAsia="Times New Roman" w:hAnsi="Times New Roman" w:cs="Times New Roman"/>
          <w:sz w:val="24"/>
          <w:szCs w:val="24"/>
          <w:vertAlign w:val="superscript"/>
        </w:rPr>
        <w:footnoteReference w:id="82"/>
      </w:r>
    </w:p>
    <w:p w:rsidR="008A753C" w:rsidRDefault="00000000">
      <w:pPr>
        <w:spacing w:line="44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Most state-level public defender organizations have some form of structure to ensure that their attorneys meet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’s mandate. However, the defense community still needs more resources and information to provide robust representation to noncitizens accused of crimes. Future research should collect and compare more numerical data, such as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per year and case outcomes, to provide more insight into effective practices for finding and helping noncitizens in criminal cases. Future research should also survey private criminal defense attorneys, who some experts suggest may provide less immigration-sensitive representation than public defenders on average.</w:t>
      </w:r>
      <w:r>
        <w:rPr>
          <w:rFonts w:ascii="Times New Roman" w:eastAsia="Times New Roman" w:hAnsi="Times New Roman" w:cs="Times New Roman"/>
          <w:sz w:val="24"/>
          <w:szCs w:val="24"/>
          <w:vertAlign w:val="superscript"/>
        </w:rPr>
        <w:footnoteReference w:id="83"/>
      </w: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is not a solution to the racism,</w:t>
      </w:r>
      <w:r>
        <w:rPr>
          <w:rFonts w:ascii="Times New Roman" w:eastAsia="Times New Roman" w:hAnsi="Times New Roman" w:cs="Times New Roman"/>
          <w:sz w:val="24"/>
          <w:szCs w:val="24"/>
          <w:vertAlign w:val="superscript"/>
        </w:rPr>
        <w:footnoteReference w:id="84"/>
      </w:r>
      <w:r>
        <w:rPr>
          <w:rFonts w:ascii="Times New Roman" w:eastAsia="Times New Roman" w:hAnsi="Times New Roman" w:cs="Times New Roman"/>
          <w:sz w:val="24"/>
          <w:szCs w:val="24"/>
        </w:rPr>
        <w:t xml:space="preserve"> lawlessness,</w:t>
      </w:r>
      <w:r>
        <w:rPr>
          <w:rFonts w:ascii="Times New Roman" w:eastAsia="Times New Roman" w:hAnsi="Times New Roman" w:cs="Times New Roman"/>
          <w:sz w:val="24"/>
          <w:szCs w:val="24"/>
          <w:vertAlign w:val="superscript"/>
        </w:rPr>
        <w:footnoteReference w:id="85"/>
      </w:r>
      <w:r>
        <w:rPr>
          <w:rFonts w:ascii="Times New Roman" w:eastAsia="Times New Roman" w:hAnsi="Times New Roman" w:cs="Times New Roman"/>
          <w:sz w:val="24"/>
          <w:szCs w:val="24"/>
        </w:rPr>
        <w:t xml:space="preserve"> and inhumane confinement</w:t>
      </w:r>
      <w:r>
        <w:rPr>
          <w:rFonts w:ascii="Times New Roman" w:eastAsia="Times New Roman" w:hAnsi="Times New Roman" w:cs="Times New Roman"/>
          <w:sz w:val="24"/>
          <w:szCs w:val="24"/>
          <w:vertAlign w:val="superscript"/>
        </w:rPr>
        <w:footnoteReference w:id="86"/>
      </w:r>
      <w:r>
        <w:rPr>
          <w:rFonts w:ascii="Times New Roman" w:eastAsia="Times New Roman" w:hAnsi="Times New Roman" w:cs="Times New Roman"/>
          <w:sz w:val="24"/>
          <w:szCs w:val="24"/>
        </w:rPr>
        <w:t xml:space="preserve"> that characterize the intersection of criminal law and immigration in the United States. However, it is a critical floor for effective representation of noncitizens in criminal matters. Most public defenders I spoke with for this paper were deeply passionate about representing noncitizens, and </w:t>
      </w:r>
      <w:r>
        <w:rPr>
          <w:rFonts w:ascii="Times New Roman" w:eastAsia="Times New Roman" w:hAnsi="Times New Roman" w:cs="Times New Roman"/>
          <w:sz w:val="24"/>
          <w:szCs w:val="24"/>
        </w:rPr>
        <w:lastRenderedPageBreak/>
        <w:t>said they fought harder and filed more motions when they knew deportation was on the table for a client.</w:t>
      </w:r>
      <w:r>
        <w:rPr>
          <w:rFonts w:ascii="Times New Roman" w:eastAsia="Times New Roman" w:hAnsi="Times New Roman" w:cs="Times New Roman"/>
          <w:sz w:val="24"/>
          <w:szCs w:val="24"/>
          <w:vertAlign w:val="superscript"/>
        </w:rPr>
        <w:footnoteReference w:id="87"/>
      </w:r>
      <w:r>
        <w:rPr>
          <w:rFonts w:ascii="Times New Roman" w:eastAsia="Times New Roman" w:hAnsi="Times New Roman" w:cs="Times New Roman"/>
          <w:sz w:val="24"/>
          <w:szCs w:val="24"/>
        </w:rPr>
        <w:t xml:space="preserve"> Still, with limited resources and laws stacked against noncitizen clients, attorneys struggle with feelings of helplessness and despair.</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 xml:space="preserve"> In the words of Vermont’s in-state expert, who has a full caseload and manages the state’s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consultations often on the weekends, “It’s kind of overwhelming. I do as much as I can.”</w:t>
      </w:r>
      <w:r>
        <w:rPr>
          <w:rFonts w:ascii="Times New Roman" w:eastAsia="Times New Roman" w:hAnsi="Times New Roman" w:cs="Times New Roman"/>
          <w:sz w:val="24"/>
          <w:szCs w:val="24"/>
          <w:vertAlign w:val="superscript"/>
        </w:rPr>
        <w:footnoteReference w:id="89"/>
      </w:r>
    </w:p>
    <w:p w:rsidR="008A753C" w:rsidRDefault="00000000">
      <w:pPr>
        <w:spacing w:line="444" w:lineRule="auto"/>
        <w:rPr>
          <w:rFonts w:ascii="Times New Roman" w:eastAsia="Times New Roman" w:hAnsi="Times New Roman" w:cs="Times New Roman"/>
          <w:sz w:val="24"/>
          <w:szCs w:val="24"/>
        </w:rPr>
      </w:pPr>
      <w:r>
        <w:br w:type="page"/>
      </w:r>
    </w:p>
    <w:p w:rsidR="008A753C" w:rsidRDefault="00000000">
      <w:pPr>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A: Structures</w:t>
      </w:r>
    </w:p>
    <w:tbl>
      <w:tblPr>
        <w:tblStyle w:val="a"/>
        <w:tblW w:w="11310" w:type="dxa"/>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805"/>
        <w:gridCol w:w="2205"/>
        <w:gridCol w:w="2205"/>
        <w:gridCol w:w="2475"/>
      </w:tblGrid>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Expert type</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Identification procedures</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Crim </w:t>
            </w:r>
            <w:proofErr w:type="spellStart"/>
            <w:r>
              <w:rPr>
                <w:rFonts w:ascii="Times New Roman" w:eastAsia="Times New Roman" w:hAnsi="Times New Roman" w:cs="Times New Roman"/>
                <w:b/>
                <w:sz w:val="24"/>
                <w:szCs w:val="24"/>
              </w:rPr>
              <w:t>im</w:t>
            </w:r>
            <w:proofErr w:type="spellEnd"/>
            <w:r>
              <w:rPr>
                <w:rFonts w:ascii="Times New Roman" w:eastAsia="Times New Roman" w:hAnsi="Times New Roman" w:cs="Times New Roman"/>
                <w:b/>
                <w:sz w:val="24"/>
                <w:szCs w:val="24"/>
              </w:rPr>
              <w:t xml:space="preserve"> specific training</w:t>
            </w:r>
          </w:p>
        </w:tc>
        <w:tc>
          <w:tcPr>
            <w:tcW w:w="24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notes</w:t>
            </w: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Connecticut</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Yale guide to CT statutes, plus an expert on retainer who advises staff in specific cases.</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Line attorneys are trained to attempt to determine the citizenship of clients, beginning at intake.</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new attorneys receive training on addressing immigration collateral consequences, as well as regular division-wide training on emergent issues.</w:t>
            </w:r>
          </w:p>
        </w:tc>
        <w:tc>
          <w:tcPr>
            <w:tcW w:w="24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Line attorneys use a guide to immigration consequences of all CT statutes created by Yale students, which needs updating.</w:t>
            </w: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Hawaii</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in-house attorneys WITHOUT reduced caseloads. Attorneys sometimes connect with external non-profit for extra advice in complex cases.</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Line attorneys trained to ask where client was born in initial intake, and required to investigate it on their own.</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Frequent, focused on issue-spotting.</w:t>
            </w:r>
          </w:p>
        </w:tc>
        <w:tc>
          <w:tcPr>
            <w:tcW w:w="247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Iowa</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in-house attorneys with slightly reduced caseloads (lead attorney </w:t>
            </w:r>
            <w:r>
              <w:rPr>
                <w:rFonts w:ascii="Times New Roman" w:eastAsia="Times New Roman" w:hAnsi="Times New Roman" w:cs="Times New Roman"/>
                <w:sz w:val="24"/>
                <w:szCs w:val="24"/>
              </w:rPr>
              <w:lastRenderedPageBreak/>
              <w:t>had a non-immigration caseload of ~110 cases per year).</w:t>
            </w: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Fairly regular non-mandatory trainings.</w:t>
            </w:r>
          </w:p>
        </w:tc>
        <w:tc>
          <w:tcPr>
            <w:tcW w:w="24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formal policy requiring immigration analysis to be obtained.</w:t>
            </w: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Maine</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immigration attorney that Maine contracts with to consult with public defenders.</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Attorneys are expected to ask where the client was born at the first meeting, and consult if the answer is outside the U.S.</w:t>
            </w: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47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Maryland</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in-house experts with significantly reduced caseloads.</w:t>
            </w: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to three trainings per month on average.</w:t>
            </w:r>
          </w:p>
        </w:tc>
        <w:tc>
          <w:tcPr>
            <w:tcW w:w="24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a streamlined intake form with 7 questions which has improved attorney use, and address specificity in their response.</w:t>
            </w: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Massachusetts</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Four in-house experts and sometimes interns in an immigration unit.</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Attorneys trained to ask for place of birth at intake. Attorneys can reach out any way they like at any point.</w:t>
            </w: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4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policy work on immigration and criminal law issues.</w:t>
            </w: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Minnesota</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in-house expert.</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management </w:t>
            </w:r>
            <w:r>
              <w:rPr>
                <w:rFonts w:ascii="Times New Roman" w:eastAsia="Times New Roman" w:hAnsi="Times New Roman" w:cs="Times New Roman"/>
                <w:sz w:val="24"/>
                <w:szCs w:val="24"/>
              </w:rPr>
              <w:lastRenderedPageBreak/>
              <w:t>software requires attorneys to ask if the client was born in the US in the initial meeting.</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Regular training </w:t>
            </w:r>
            <w:r>
              <w:rPr>
                <w:rFonts w:ascii="Times New Roman" w:eastAsia="Times New Roman" w:hAnsi="Times New Roman" w:cs="Times New Roman"/>
                <w:sz w:val="24"/>
                <w:szCs w:val="24"/>
              </w:rPr>
              <w:lastRenderedPageBreak/>
              <w:t xml:space="preserve">focused on goals of </w:t>
            </w:r>
            <w:r>
              <w:rPr>
                <w:rFonts w:ascii="Times New Roman" w:eastAsia="Times New Roman" w:hAnsi="Times New Roman" w:cs="Times New Roman"/>
                <w:i/>
                <w:sz w:val="24"/>
                <w:szCs w:val="24"/>
              </w:rPr>
              <w:t>Padilla</w:t>
            </w:r>
            <w:r>
              <w:rPr>
                <w:rFonts w:ascii="Times New Roman" w:eastAsia="Times New Roman" w:hAnsi="Times New Roman" w:cs="Times New Roman"/>
                <w:sz w:val="24"/>
                <w:szCs w:val="24"/>
              </w:rPr>
              <w:t xml:space="preserve"> and getting attorneys to use experts.</w:t>
            </w:r>
          </w:p>
        </w:tc>
        <w:tc>
          <w:tcPr>
            <w:tcW w:w="247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Missouri</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 with option for attorneys to seek out internal or external consultation if needed.</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Guidelines advise line attorneys to ask birthplace at the initial meetings.</w:t>
            </w: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47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Hampshire</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experts - contract with National Immigration Project for immigration consults, paid for set number per month. Attorneys can also apply for expert immigration funding through the court when the org is busy or a case is particularly complex.</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specific policy.</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About once per year.</w:t>
            </w:r>
          </w:p>
        </w:tc>
        <w:tc>
          <w:tcPr>
            <w:tcW w:w="24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Previously had an in-house expert, but their advice “got stale” from lack of courtroom exposure.</w:t>
            </w: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Mexico</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immigration attorney consults.</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specific policy - cases often identified by </w:t>
            </w:r>
            <w:r>
              <w:rPr>
                <w:rFonts w:ascii="Times New Roman" w:eastAsia="Times New Roman" w:hAnsi="Times New Roman" w:cs="Times New Roman"/>
                <w:sz w:val="24"/>
                <w:szCs w:val="24"/>
              </w:rPr>
              <w:lastRenderedPageBreak/>
              <w:t>paralegals when there is no social security number, or “way too late.”</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 a lot.</w:t>
            </w:r>
          </w:p>
        </w:tc>
        <w:tc>
          <w:tcPr>
            <w:tcW w:w="247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North Dakota</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private immigration attorneys provide consultations for $90 per hour.</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policy or practice.</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247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Oregon</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experts at the Oregon Justice Resource Center.</w:t>
            </w: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47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Rhode Island</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community contacts when the attorney does not know.</w:t>
            </w: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Occasional</w:t>
            </w:r>
          </w:p>
        </w:tc>
        <w:tc>
          <w:tcPr>
            <w:tcW w:w="247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Vermont</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expert with a full caseload, consulting</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on</w:t>
            </w:r>
            <w:r>
              <w:rPr>
                <w:rFonts w:ascii="Times New Roman" w:eastAsia="Times New Roman" w:hAnsi="Times New Roman" w:cs="Times New Roman"/>
                <w:i/>
                <w:sz w:val="24"/>
                <w:szCs w:val="24"/>
              </w:rPr>
              <w:t>Padilla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advisals</w:t>
            </w:r>
            <w:proofErr w:type="spellEnd"/>
            <w:r>
              <w:rPr>
                <w:rFonts w:ascii="Times New Roman" w:eastAsia="Times New Roman" w:hAnsi="Times New Roman" w:cs="Times New Roman"/>
                <w:sz w:val="24"/>
                <w:szCs w:val="24"/>
              </w:rPr>
              <w:t xml:space="preserve"> often on weekends.</w:t>
            </w: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Statewide </w:t>
            </w:r>
            <w:proofErr w:type="spellStart"/>
            <w:r>
              <w:rPr>
                <w:rFonts w:ascii="Times New Roman" w:eastAsia="Times New Roman" w:hAnsi="Times New Roman" w:cs="Times New Roman"/>
                <w:sz w:val="24"/>
                <w:szCs w:val="24"/>
              </w:rPr>
              <w:t>crim-im</w:t>
            </w:r>
            <w:proofErr w:type="spellEnd"/>
            <w:r>
              <w:rPr>
                <w:rFonts w:ascii="Times New Roman" w:eastAsia="Times New Roman" w:hAnsi="Times New Roman" w:cs="Times New Roman"/>
                <w:sz w:val="24"/>
                <w:szCs w:val="24"/>
              </w:rPr>
              <w:t xml:space="preserve"> trainings every couple of years.</w:t>
            </w:r>
          </w:p>
          <w:p w:rsidR="008A753C" w:rsidRDefault="008A753C">
            <w:pPr>
              <w:widowControl w:val="0"/>
              <w:spacing w:line="444" w:lineRule="auto"/>
              <w:rPr>
                <w:rFonts w:ascii="Times New Roman" w:eastAsia="Times New Roman" w:hAnsi="Times New Roman" w:cs="Times New Roman"/>
                <w:sz w:val="24"/>
                <w:szCs w:val="24"/>
              </w:rPr>
            </w:pPr>
          </w:p>
        </w:tc>
        <w:tc>
          <w:tcPr>
            <w:tcW w:w="24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Expert also handles interpreter issues. Collaboration with federal defenders to build capacity.</w:t>
            </w: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expert with no other caseload</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Require PDs to ask where born at initial meetings, and then </w:t>
            </w:r>
            <w:r>
              <w:rPr>
                <w:rFonts w:ascii="Times New Roman" w:eastAsia="Times New Roman" w:hAnsi="Times New Roman" w:cs="Times New Roman"/>
                <w:sz w:val="24"/>
                <w:szCs w:val="24"/>
              </w:rPr>
              <w:lastRenderedPageBreak/>
              <w:t>ask follow-up questions</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About 10 substantive </w:t>
            </w:r>
            <w:proofErr w:type="gramStart"/>
            <w:r>
              <w:rPr>
                <w:rFonts w:ascii="Times New Roman" w:eastAsia="Times New Roman" w:hAnsi="Times New Roman" w:cs="Times New Roman"/>
                <w:sz w:val="24"/>
                <w:szCs w:val="24"/>
              </w:rPr>
              <w:t xml:space="preserve">immigration  </w:t>
            </w:r>
            <w:r>
              <w:rPr>
                <w:rFonts w:ascii="Times New Roman" w:eastAsia="Times New Roman" w:hAnsi="Times New Roman" w:cs="Times New Roman"/>
                <w:sz w:val="24"/>
                <w:szCs w:val="24"/>
              </w:rPr>
              <w:lastRenderedPageBreak/>
              <w:t>trainings</w:t>
            </w:r>
            <w:proofErr w:type="gramEnd"/>
            <w:r>
              <w:rPr>
                <w:rFonts w:ascii="Times New Roman" w:eastAsia="Times New Roman" w:hAnsi="Times New Roman" w:cs="Times New Roman"/>
                <w:sz w:val="24"/>
                <w:szCs w:val="24"/>
              </w:rPr>
              <w:t xml:space="preserve"> per year.</w:t>
            </w:r>
          </w:p>
        </w:tc>
        <w:tc>
          <w:tcPr>
            <w:tcW w:w="24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Meets regularly with regional counterparts. No policy advocacy.</w:t>
            </w: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Wisconsin</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in-house practice coordinators with reduced caseloads (⅔ of a normal non-</w:t>
            </w:r>
            <w:proofErr w:type="spellStart"/>
            <w:r>
              <w:rPr>
                <w:rFonts w:ascii="Times New Roman" w:eastAsia="Times New Roman" w:hAnsi="Times New Roman" w:cs="Times New Roman"/>
                <w:sz w:val="24"/>
                <w:szCs w:val="24"/>
              </w:rPr>
              <w:t>imm</w:t>
            </w:r>
            <w:proofErr w:type="spellEnd"/>
            <w:r>
              <w:rPr>
                <w:rFonts w:ascii="Times New Roman" w:eastAsia="Times New Roman" w:hAnsi="Times New Roman" w:cs="Times New Roman"/>
                <w:sz w:val="24"/>
                <w:szCs w:val="24"/>
              </w:rPr>
              <w:t xml:space="preserve"> caseload)</w:t>
            </w: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to three per year.</w:t>
            </w:r>
          </w:p>
        </w:tc>
        <w:tc>
          <w:tcPr>
            <w:tcW w:w="24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does some policy advocacy.</w:t>
            </w:r>
          </w:p>
        </w:tc>
      </w:tr>
      <w:tr w:rsidR="008A753C">
        <w:tc>
          <w:tcPr>
            <w:tcW w:w="162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Virginia</w:t>
            </w:r>
          </w:p>
        </w:tc>
        <w:tc>
          <w:tcPr>
            <w:tcW w:w="28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structure at the state level</w:t>
            </w:r>
          </w:p>
        </w:tc>
        <w:tc>
          <w:tcPr>
            <w:tcW w:w="220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policy at the state level</w:t>
            </w:r>
          </w:p>
        </w:tc>
        <w:tc>
          <w:tcPr>
            <w:tcW w:w="220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47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bl>
    <w:p w:rsidR="008A753C" w:rsidRDefault="008A753C">
      <w:pPr>
        <w:spacing w:line="444" w:lineRule="auto"/>
        <w:rPr>
          <w:rFonts w:ascii="Times New Roman" w:eastAsia="Times New Roman" w:hAnsi="Times New Roman" w:cs="Times New Roman"/>
          <w:sz w:val="24"/>
          <w:szCs w:val="24"/>
        </w:rPr>
      </w:pPr>
    </w:p>
    <w:p w:rsidR="008A753C" w:rsidRDefault="00000000">
      <w:pPr>
        <w:spacing w:line="444"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Appendix B: Comparing consults and noncitizen population</w:t>
      </w:r>
    </w:p>
    <w:tbl>
      <w:tblPr>
        <w:tblStyle w:val="a0"/>
        <w:tblW w:w="11160" w:type="dxa"/>
        <w:tblInd w:w="-1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975"/>
        <w:gridCol w:w="1710"/>
        <w:gridCol w:w="2460"/>
        <w:gridCol w:w="2055"/>
        <w:gridCol w:w="2280"/>
      </w:tblGrid>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Census % foreign born</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Approx</w:t>
            </w:r>
            <w:proofErr w:type="spellEnd"/>
            <w:r>
              <w:rPr>
                <w:rFonts w:ascii="Times New Roman" w:eastAsia="Times New Roman" w:hAnsi="Times New Roman" w:cs="Times New Roman"/>
                <w:b/>
                <w:sz w:val="24"/>
                <w:szCs w:val="24"/>
              </w:rPr>
              <w:t xml:space="preserve"> population (% foreign born times population)</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Expert type</w:t>
            </w:r>
          </w:p>
        </w:tc>
        <w:tc>
          <w:tcPr>
            <w:tcW w:w="205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Number of </w:t>
            </w:r>
            <w:r>
              <w:rPr>
                <w:rFonts w:ascii="Times New Roman" w:eastAsia="Times New Roman" w:hAnsi="Times New Roman" w:cs="Times New Roman"/>
                <w:b/>
                <w:i/>
                <w:sz w:val="24"/>
                <w:szCs w:val="24"/>
              </w:rPr>
              <w:t>Padilla</w:t>
            </w:r>
            <w:r>
              <w:rPr>
                <w:rFonts w:ascii="Times New Roman" w:eastAsia="Times New Roman" w:hAnsi="Times New Roman" w:cs="Times New Roman"/>
                <w:b/>
                <w:sz w:val="24"/>
                <w:szCs w:val="24"/>
              </w:rPr>
              <w:t xml:space="preserve"> consults to experts per year</w:t>
            </w:r>
          </w:p>
        </w:tc>
        <w:tc>
          <w:tcPr>
            <w:tcW w:w="22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Padilla</w:t>
            </w:r>
            <w:r>
              <w:rPr>
                <w:rFonts w:ascii="Times New Roman" w:eastAsia="Times New Roman" w:hAnsi="Times New Roman" w:cs="Times New Roman"/>
                <w:b/>
                <w:sz w:val="24"/>
                <w:szCs w:val="24"/>
              </w:rPr>
              <w:t xml:space="preserve"> consults per foreign born resident</w:t>
            </w: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Connecticut</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565,960</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w:t>
            </w:r>
          </w:p>
        </w:tc>
        <w:tc>
          <w:tcPr>
            <w:tcW w:w="205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80"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Hawaii</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261,752</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In-house, 0 FTE</w:t>
            </w:r>
          </w:p>
        </w:tc>
        <w:tc>
          <w:tcPr>
            <w:tcW w:w="205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80"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Iowa</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184,764</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In-house, 1 FTE</w:t>
            </w:r>
          </w:p>
        </w:tc>
        <w:tc>
          <w:tcPr>
            <w:tcW w:w="205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22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Maine</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54,795</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w:t>
            </w:r>
          </w:p>
        </w:tc>
        <w:tc>
          <w:tcPr>
            <w:tcW w:w="205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22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Maryland</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1,020,905</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In-house, 1.5 FTE</w:t>
            </w:r>
          </w:p>
        </w:tc>
        <w:tc>
          <w:tcPr>
            <w:tcW w:w="205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than 900 in 2024, on track for </w:t>
            </w:r>
            <w:r>
              <w:rPr>
                <w:rFonts w:ascii="Times New Roman" w:eastAsia="Times New Roman" w:hAnsi="Times New Roman" w:cs="Times New Roman"/>
                <w:sz w:val="24"/>
                <w:szCs w:val="24"/>
              </w:rPr>
              <w:lastRenderedPageBreak/>
              <w:t>1200 in 2025</w:t>
            </w:r>
          </w:p>
        </w:tc>
        <w:tc>
          <w:tcPr>
            <w:tcW w:w="22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.0009 (note extra decimal place)</w:t>
            </w: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Massachusetts</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1,263,102</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In-house, 1.5 FTE</w:t>
            </w:r>
          </w:p>
        </w:tc>
        <w:tc>
          <w:tcPr>
            <w:tcW w:w="205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80"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Minnesota</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498,211</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In-house, 1 FTE</w:t>
            </w:r>
          </w:p>
        </w:tc>
        <w:tc>
          <w:tcPr>
            <w:tcW w:w="205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3735 total in FY 2024. </w:t>
            </w:r>
          </w:p>
          <w:p w:rsidR="008A753C" w:rsidRDefault="008A753C">
            <w:pPr>
              <w:widowControl w:val="0"/>
              <w:spacing w:line="444" w:lineRule="auto"/>
              <w:rPr>
                <w:rFonts w:ascii="Times New Roman" w:eastAsia="Times New Roman" w:hAnsi="Times New Roman" w:cs="Times New Roman"/>
                <w:sz w:val="24"/>
                <w:szCs w:val="24"/>
              </w:rPr>
            </w:pPr>
          </w:p>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3800 between July 1, 2024 and March 27, 2025 (which annualizes to about 5400).</w:t>
            </w:r>
          </w:p>
          <w:p w:rsidR="008A753C" w:rsidRDefault="008A753C">
            <w:pPr>
              <w:widowControl w:val="0"/>
              <w:spacing w:line="444" w:lineRule="auto"/>
              <w:rPr>
                <w:rFonts w:ascii="Times New Roman" w:eastAsia="Times New Roman" w:hAnsi="Times New Roman" w:cs="Times New Roman"/>
                <w:sz w:val="24"/>
                <w:szCs w:val="24"/>
              </w:rPr>
            </w:pPr>
          </w:p>
        </w:tc>
        <w:tc>
          <w:tcPr>
            <w:tcW w:w="22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2024, .007.</w:t>
            </w:r>
          </w:p>
          <w:p w:rsidR="008A753C" w:rsidRDefault="008A753C">
            <w:pPr>
              <w:widowControl w:val="0"/>
              <w:spacing w:line="444" w:lineRule="auto"/>
              <w:rPr>
                <w:rFonts w:ascii="Times New Roman" w:eastAsia="Times New Roman" w:hAnsi="Times New Roman" w:cs="Times New Roman"/>
                <w:sz w:val="24"/>
                <w:szCs w:val="24"/>
              </w:rPr>
            </w:pPr>
          </w:p>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 .11.</w:t>
            </w:r>
          </w:p>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Missouri</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278,800</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205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80"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Montana</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26,156</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w:t>
            </w:r>
          </w:p>
        </w:tc>
        <w:tc>
          <w:tcPr>
            <w:tcW w:w="205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80"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Hampshire</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87,359</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(nonprofit)</w:t>
            </w:r>
          </w:p>
        </w:tc>
        <w:tc>
          <w:tcPr>
            <w:tcW w:w="205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22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Mexico</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195,983</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(private)</w:t>
            </w:r>
          </w:p>
        </w:tc>
        <w:tc>
          <w:tcPr>
            <w:tcW w:w="205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80"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North Dakota</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35,800</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(private)</w:t>
            </w:r>
          </w:p>
        </w:tc>
        <w:tc>
          <w:tcPr>
            <w:tcW w:w="205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2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Oregon</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414,419</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(nonprofit)</w:t>
            </w:r>
          </w:p>
        </w:tc>
        <w:tc>
          <w:tcPr>
            <w:tcW w:w="205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80"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Rhode Island</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164,621</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(private)</w:t>
            </w:r>
          </w:p>
        </w:tc>
        <w:tc>
          <w:tcPr>
            <w:tcW w:w="205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80"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Vermont</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27,885</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In-house, 0 FTE</w:t>
            </w:r>
          </w:p>
        </w:tc>
        <w:tc>
          <w:tcPr>
            <w:tcW w:w="205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22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Virginia</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1,136,644</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In-house, 1 FTE</w:t>
            </w:r>
          </w:p>
        </w:tc>
        <w:tc>
          <w:tcPr>
            <w:tcW w:w="205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~1,380 (496 in 2025 as of May 6th)</w:t>
            </w:r>
          </w:p>
        </w:tc>
        <w:tc>
          <w:tcPr>
            <w:tcW w:w="22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Virginia</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30,089</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structure</w:t>
            </w:r>
          </w:p>
        </w:tc>
        <w:tc>
          <w:tcPr>
            <w:tcW w:w="2055"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c>
          <w:tcPr>
            <w:tcW w:w="2280" w:type="dxa"/>
            <w:shd w:val="clear" w:color="auto" w:fill="auto"/>
            <w:tcMar>
              <w:top w:w="100" w:type="dxa"/>
              <w:left w:w="100" w:type="dxa"/>
              <w:bottom w:w="100" w:type="dxa"/>
              <w:right w:w="100" w:type="dxa"/>
            </w:tcMar>
          </w:tcPr>
          <w:p w:rsidR="008A753C" w:rsidRDefault="008A753C">
            <w:pPr>
              <w:widowControl w:val="0"/>
              <w:spacing w:line="444" w:lineRule="auto"/>
              <w:rPr>
                <w:rFonts w:ascii="Times New Roman" w:eastAsia="Times New Roman" w:hAnsi="Times New Roman" w:cs="Times New Roman"/>
                <w:sz w:val="24"/>
                <w:szCs w:val="24"/>
              </w:rPr>
            </w:pPr>
          </w:p>
        </w:tc>
      </w:tr>
      <w:tr w:rsidR="008A753C">
        <w:tc>
          <w:tcPr>
            <w:tcW w:w="16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Wisconsin</w:t>
            </w:r>
          </w:p>
        </w:tc>
        <w:tc>
          <w:tcPr>
            <w:tcW w:w="97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71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304,009</w:t>
            </w:r>
          </w:p>
        </w:tc>
        <w:tc>
          <w:tcPr>
            <w:tcW w:w="246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In-house, 1.3 FTE</w:t>
            </w:r>
          </w:p>
        </w:tc>
        <w:tc>
          <w:tcPr>
            <w:tcW w:w="2055"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280" w:type="dxa"/>
            <w:shd w:val="clear" w:color="auto" w:fill="auto"/>
            <w:tcMar>
              <w:top w:w="100" w:type="dxa"/>
              <w:left w:w="100" w:type="dxa"/>
              <w:bottom w:w="100" w:type="dxa"/>
              <w:right w:w="100" w:type="dxa"/>
            </w:tcMar>
          </w:tcPr>
          <w:p w:rsidR="008A753C" w:rsidRDefault="00000000">
            <w:pPr>
              <w:widowControl w:val="0"/>
              <w:spacing w:line="4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.0007 (note extra decimal place)</w:t>
            </w:r>
          </w:p>
        </w:tc>
      </w:tr>
    </w:tbl>
    <w:p w:rsidR="008A753C" w:rsidRDefault="008A753C">
      <w:pPr>
        <w:spacing w:line="444" w:lineRule="auto"/>
        <w:rPr>
          <w:rFonts w:ascii="Times New Roman" w:eastAsia="Times New Roman" w:hAnsi="Times New Roman" w:cs="Times New Roman"/>
          <w:b/>
          <w:sz w:val="24"/>
          <w:szCs w:val="24"/>
        </w:rPr>
      </w:pPr>
    </w:p>
    <w:sectPr w:rsidR="008A753C">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059D" w:rsidRDefault="00B6059D">
      <w:pPr>
        <w:spacing w:line="240" w:lineRule="auto"/>
      </w:pPr>
      <w:r>
        <w:separator/>
      </w:r>
    </w:p>
  </w:endnote>
  <w:endnote w:type="continuationSeparator" w:id="0">
    <w:p w:rsidR="00B6059D" w:rsidRDefault="00B6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753C" w:rsidRDefault="00000000">
    <w:pPr>
      <w:jc w:val="right"/>
      <w:rPr>
        <w:rFonts w:ascii="Times New Roman" w:eastAsia="Times New Roman" w:hAnsi="Times New Roman" w:cs="Times New Roman"/>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743E4C">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059D" w:rsidRDefault="00B6059D">
      <w:pPr>
        <w:spacing w:line="240" w:lineRule="auto"/>
      </w:pPr>
      <w:r>
        <w:separator/>
      </w:r>
    </w:p>
  </w:footnote>
  <w:footnote w:type="continuationSeparator" w:id="0">
    <w:p w:rsidR="00B6059D" w:rsidRDefault="00B6059D">
      <w:pPr>
        <w:spacing w:line="240" w:lineRule="auto"/>
      </w:pPr>
      <w:r>
        <w:continuationSeparator/>
      </w:r>
    </w:p>
  </w:footnote>
  <w:footnote w:id="1">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559 U.S. 356, 374 (2010).</w:t>
      </w:r>
    </w:p>
  </w:footnote>
  <w:footnote w:id="2">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Id. </w:t>
      </w:r>
      <w:r>
        <w:rPr>
          <w:rFonts w:ascii="Times New Roman" w:eastAsia="Times New Roman" w:hAnsi="Times New Roman" w:cs="Times New Roman"/>
          <w:sz w:val="20"/>
          <w:szCs w:val="20"/>
        </w:rPr>
        <w:t>at 366.</w:t>
      </w:r>
    </w:p>
  </w:footnote>
  <w:footnote w:id="3">
    <w:p w:rsidR="008A753C"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Margaret Colgate Love &amp; Gabriel J. Chin, </w:t>
      </w:r>
      <w:r>
        <w:rPr>
          <w:rFonts w:ascii="Times New Roman" w:eastAsia="Times New Roman" w:hAnsi="Times New Roman" w:cs="Times New Roman"/>
          <w:i/>
          <w:sz w:val="20"/>
          <w:szCs w:val="20"/>
        </w:rPr>
        <w:t>Padilla v. Kentucky: The Right to Counsel and the Collateral Consequences of Conviction</w:t>
      </w:r>
      <w:r>
        <w:rPr>
          <w:rFonts w:ascii="Times New Roman" w:eastAsia="Times New Roman" w:hAnsi="Times New Roman" w:cs="Times New Roman"/>
          <w:sz w:val="20"/>
          <w:szCs w:val="20"/>
        </w:rPr>
        <w:t>, Champion, May 2010, at 19.</w:t>
      </w:r>
    </w:p>
  </w:footnote>
  <w:footnote w:id="4">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McGregor Smyth, </w:t>
      </w:r>
      <w:r>
        <w:rPr>
          <w:rFonts w:ascii="Times New Roman" w:eastAsia="Times New Roman" w:hAnsi="Times New Roman" w:cs="Times New Roman"/>
          <w:i/>
          <w:sz w:val="20"/>
          <w:szCs w:val="20"/>
        </w:rPr>
        <w:t>The Seismic Evolution of Padilla v. Kentucky and Its Impact on Penalties Beyond Deportation</w:t>
      </w:r>
      <w:r>
        <w:rPr>
          <w:rFonts w:ascii="Times New Roman" w:eastAsia="Times New Roman" w:hAnsi="Times New Roman" w:cs="Times New Roman"/>
          <w:sz w:val="20"/>
          <w:szCs w:val="20"/>
        </w:rPr>
        <w:t>, 54 Howard Law Journal 795, 798 (2011).</w:t>
      </w:r>
    </w:p>
  </w:footnote>
  <w:footnote w:id="5">
    <w:p w:rsidR="008A753C"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Question asked to Professor García Hernández, March 4, 2025.</w:t>
      </w:r>
    </w:p>
  </w:footnote>
  <w:footnote w:id="6">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7">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8">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Gideon v. Wainwright</w:t>
      </w:r>
      <w:r>
        <w:rPr>
          <w:rFonts w:ascii="Times New Roman" w:eastAsia="Times New Roman" w:hAnsi="Times New Roman" w:cs="Times New Roman"/>
          <w:sz w:val="20"/>
          <w:szCs w:val="20"/>
        </w:rPr>
        <w:t>, 372 U.S. 335 (1963).</w:t>
      </w:r>
    </w:p>
  </w:footnote>
  <w:footnote w:id="9">
    <w:p w:rsidR="008A753C"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Eve </w:t>
      </w:r>
      <w:proofErr w:type="spellStart"/>
      <w:r>
        <w:rPr>
          <w:rFonts w:ascii="Times New Roman" w:eastAsia="Times New Roman" w:hAnsi="Times New Roman" w:cs="Times New Roman"/>
          <w:sz w:val="20"/>
          <w:szCs w:val="20"/>
        </w:rPr>
        <w:t>Brensike</w:t>
      </w:r>
      <w:proofErr w:type="spellEnd"/>
      <w:r>
        <w:rPr>
          <w:rFonts w:ascii="Times New Roman" w:eastAsia="Times New Roman" w:hAnsi="Times New Roman" w:cs="Times New Roman"/>
          <w:sz w:val="20"/>
          <w:szCs w:val="20"/>
        </w:rPr>
        <w:t xml:space="preserve"> Primus, </w:t>
      </w:r>
      <w:r>
        <w:rPr>
          <w:rFonts w:ascii="Times New Roman" w:eastAsia="Times New Roman" w:hAnsi="Times New Roman" w:cs="Times New Roman"/>
          <w:i/>
          <w:sz w:val="20"/>
          <w:szCs w:val="20"/>
        </w:rPr>
        <w:t>The Problematic Structure of Indigent Defense Delivery</w:t>
      </w:r>
      <w:r>
        <w:rPr>
          <w:rFonts w:ascii="Times New Roman" w:eastAsia="Times New Roman" w:hAnsi="Times New Roman" w:cs="Times New Roman"/>
          <w:sz w:val="20"/>
          <w:szCs w:val="20"/>
        </w:rPr>
        <w:t>, 122 Mich. L. Rev. 207, 211.</w:t>
      </w:r>
    </w:p>
  </w:footnote>
  <w:footnote w:id="10">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Primus, </w:t>
      </w:r>
      <w:r>
        <w:rPr>
          <w:rFonts w:ascii="Times New Roman" w:eastAsia="Times New Roman" w:hAnsi="Times New Roman" w:cs="Times New Roman"/>
          <w:i/>
          <w:sz w:val="20"/>
          <w:szCs w:val="20"/>
        </w:rPr>
        <w:t>supra</w:t>
      </w:r>
      <w:r>
        <w:rPr>
          <w:rFonts w:ascii="Times New Roman" w:eastAsia="Times New Roman" w:hAnsi="Times New Roman" w:cs="Times New Roman"/>
          <w:sz w:val="20"/>
          <w:szCs w:val="20"/>
        </w:rPr>
        <w:t>, at Appendix A. The states that organize public defense entirely at the state level are Arkansas, Connecticut, Delaware, Hawaii, Iowa, Maine, Maryland, Massachusetts, Minnesota, Montana, New Hampshire, Vermont, Virginia, West Virginia, and Wisconsin. The states that organize public defense at the state level other than for municipal ordinances are Missouri, New Mexico, North Dakota, Oregon, and Rhode Island. I opted to include the second set of states because municipal ordinances are unlikely to lead to immigration consequences.</w:t>
      </w:r>
    </w:p>
  </w:footnote>
  <w:footnote w:id="11">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California has more robust state-law protections of noncitizens than most states, including its sanctuary law and a law allowing noncitizens to have California drivers’ licenses.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California Senate Bill 54 (2017) (protecting state and local resources from use for federal immigration enforcement); California Assembly Bill 60 (2013) (allowing noncitizens to have drivers’ licenses).</w:t>
      </w:r>
    </w:p>
  </w:footnote>
  <w:footnote w:id="12">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Appendix A.</w:t>
      </w:r>
    </w:p>
  </w:footnote>
  <w:footnote w:id="13">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Appendix B.</w:t>
      </w:r>
    </w:p>
  </w:footnote>
  <w:footnote w:id="14">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15">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Eagly, </w:t>
      </w:r>
      <w:r>
        <w:rPr>
          <w:rFonts w:ascii="Times New Roman" w:eastAsia="Times New Roman" w:hAnsi="Times New Roman" w:cs="Times New Roman"/>
          <w:i/>
          <w:sz w:val="20"/>
          <w:szCs w:val="20"/>
        </w:rPr>
        <w:t>supra</w:t>
      </w:r>
      <w:r>
        <w:rPr>
          <w:rFonts w:ascii="Times New Roman" w:eastAsia="Times New Roman" w:hAnsi="Times New Roman" w:cs="Times New Roman"/>
          <w:sz w:val="20"/>
          <w:szCs w:val="20"/>
        </w:rPr>
        <w:t>, at 79 (describing qualitative interview strategies).</w:t>
      </w:r>
    </w:p>
  </w:footnote>
  <w:footnote w:id="16">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Those states were Arkansas, Delaware, and Montana. Despite calling and emailing at least six people per state in each state, I was not able to reach anyone who would speak with me.</w:t>
      </w:r>
    </w:p>
  </w:footnote>
  <w:footnote w:id="17">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 generally 2020 Census Results,</w:t>
      </w:r>
      <w:r>
        <w:rPr>
          <w:rFonts w:ascii="Times New Roman" w:eastAsia="Times New Roman" w:hAnsi="Times New Roman" w:cs="Times New Roman"/>
          <w:sz w:val="20"/>
          <w:szCs w:val="20"/>
        </w:rPr>
        <w:t xml:space="preserve"> United States Census Bureau, https://www.census.gov/programs-surveys/decennial-census/decade/2020/2020-census-results.html. </w:t>
      </w:r>
    </w:p>
  </w:footnote>
  <w:footnote w:id="18">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This statement assumes that the government will not revoke citizenship or deport U.S. citizens for criminal charges. However, the current administration seems poised to do so.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 xml:space="preserve">Brian Mann, </w:t>
      </w:r>
      <w:r>
        <w:rPr>
          <w:rFonts w:ascii="Times New Roman" w:eastAsia="Times New Roman" w:hAnsi="Times New Roman" w:cs="Times New Roman"/>
          <w:i/>
          <w:sz w:val="20"/>
          <w:szCs w:val="20"/>
        </w:rPr>
        <w:t>‘Homegrowns are Next’: Trump Hopes to Deport and Jail U.S. Citizens Abroad</w:t>
      </w:r>
      <w:r>
        <w:rPr>
          <w:rFonts w:ascii="Times New Roman" w:eastAsia="Times New Roman" w:hAnsi="Times New Roman" w:cs="Times New Roman"/>
          <w:sz w:val="20"/>
          <w:szCs w:val="20"/>
        </w:rPr>
        <w:t xml:space="preserve">, NPR (April 16, 2025), https://www.npr.org/2025/04/16/nx-s1-5366178/trump-deport-jail-u-s-citizens-homegrowns-el-salvador. Such a change could significantly increase the need for Padilla </w:t>
      </w:r>
      <w:proofErr w:type="spellStart"/>
      <w:r>
        <w:rPr>
          <w:rFonts w:ascii="Times New Roman" w:eastAsia="Times New Roman" w:hAnsi="Times New Roman" w:cs="Times New Roman"/>
          <w:sz w:val="20"/>
          <w:szCs w:val="20"/>
        </w:rPr>
        <w:t>advisals</w:t>
      </w:r>
      <w:proofErr w:type="spellEnd"/>
      <w:r>
        <w:rPr>
          <w:rFonts w:ascii="Times New Roman" w:eastAsia="Times New Roman" w:hAnsi="Times New Roman" w:cs="Times New Roman"/>
          <w:sz w:val="20"/>
          <w:szCs w:val="20"/>
        </w:rPr>
        <w:t>.</w:t>
      </w:r>
    </w:p>
  </w:footnote>
  <w:footnote w:id="19">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 xml:space="preserve">Ming Hsu Chen, </w:t>
      </w:r>
      <w:r>
        <w:rPr>
          <w:rFonts w:ascii="Times New Roman" w:eastAsia="Times New Roman" w:hAnsi="Times New Roman" w:cs="Times New Roman"/>
          <w:i/>
          <w:sz w:val="20"/>
          <w:szCs w:val="20"/>
        </w:rPr>
        <w:t>The Political (Mis)Representation of Immigrants in the Census</w:t>
      </w:r>
      <w:r>
        <w:rPr>
          <w:rFonts w:ascii="Times New Roman" w:eastAsia="Times New Roman" w:hAnsi="Times New Roman" w:cs="Times New Roman"/>
          <w:sz w:val="20"/>
          <w:szCs w:val="20"/>
        </w:rPr>
        <w:t>, 96 N.Y.U L. Rev. 901, 917 (2021).</w:t>
      </w:r>
    </w:p>
  </w:footnote>
  <w:footnote w:id="20">
    <w:p w:rsidR="008A753C"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 xml:space="preserve">Jennifer M. </w:t>
      </w:r>
      <w:proofErr w:type="spellStart"/>
      <w:r>
        <w:rPr>
          <w:rFonts w:ascii="Times New Roman" w:eastAsia="Times New Roman" w:hAnsi="Times New Roman" w:cs="Times New Roman"/>
          <w:sz w:val="20"/>
          <w:szCs w:val="20"/>
        </w:rPr>
        <w:t>Chacón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Crimmigration</w:t>
      </w:r>
      <w:proofErr w:type="spellEnd"/>
      <w:r>
        <w:rPr>
          <w:rFonts w:ascii="Times New Roman" w:eastAsia="Times New Roman" w:hAnsi="Times New Roman" w:cs="Times New Roman"/>
          <w:i/>
          <w:sz w:val="20"/>
          <w:szCs w:val="20"/>
        </w:rPr>
        <w:t>”: race, and Critical Race Theory in the United States</w:t>
      </w:r>
      <w:r>
        <w:rPr>
          <w:rFonts w:ascii="Times New Roman" w:eastAsia="Times New Roman" w:hAnsi="Times New Roman" w:cs="Times New Roman"/>
          <w:sz w:val="20"/>
          <w:szCs w:val="20"/>
        </w:rPr>
        <w:t xml:space="preserve"> in Handbook on Border Criminology 45 (edited by Maggy Lee et al., 2024).</w:t>
      </w:r>
    </w:p>
  </w:footnote>
  <w:footnote w:id="21">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Appendix A.</w:t>
      </w:r>
    </w:p>
  </w:footnote>
  <w:footnote w:id="22">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Phone call with anonymous public defender in New Mexico (May 8, 2025) (notes on file with author). The attorney explained that some clients believe that they have naturalized when they have not, or are unaware of expired visas.</w:t>
      </w:r>
    </w:p>
  </w:footnote>
  <w:footnote w:id="23">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Interview with Hayley Cheng, Assistant Public Defender for the state of Hawaii (April 8, 2025) (notes on file with author).</w:t>
      </w:r>
    </w:p>
  </w:footnote>
  <w:footnote w:id="24">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25">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Missouri State Public Defender Guidelines for Representation at 40 (May 2021); email with Greg </w:t>
      </w:r>
      <w:proofErr w:type="spellStart"/>
      <w:r>
        <w:rPr>
          <w:rFonts w:ascii="Times New Roman" w:eastAsia="Times New Roman" w:hAnsi="Times New Roman" w:cs="Times New Roman"/>
          <w:sz w:val="20"/>
          <w:szCs w:val="20"/>
        </w:rPr>
        <w:t>Mermelstein</w:t>
      </w:r>
      <w:proofErr w:type="spellEnd"/>
      <w:r>
        <w:rPr>
          <w:rFonts w:ascii="Times New Roman" w:eastAsia="Times New Roman" w:hAnsi="Times New Roman" w:cs="Times New Roman"/>
          <w:sz w:val="20"/>
          <w:szCs w:val="20"/>
        </w:rPr>
        <w:t>, Deputy Public Defender (March 27, 2025) (notes on file with author).</w:t>
      </w:r>
    </w:p>
  </w:footnote>
  <w:footnote w:id="26">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For example, one public defender I spoke with expressed an understanding that Padilla </w:t>
      </w:r>
      <w:proofErr w:type="spellStart"/>
      <w:r>
        <w:rPr>
          <w:rFonts w:ascii="Times New Roman" w:eastAsia="Times New Roman" w:hAnsi="Times New Roman" w:cs="Times New Roman"/>
          <w:sz w:val="20"/>
          <w:szCs w:val="20"/>
        </w:rPr>
        <w:t>advisals</w:t>
      </w:r>
      <w:proofErr w:type="spellEnd"/>
      <w:r>
        <w:rPr>
          <w:rFonts w:ascii="Times New Roman" w:eastAsia="Times New Roman" w:hAnsi="Times New Roman" w:cs="Times New Roman"/>
          <w:sz w:val="20"/>
          <w:szCs w:val="20"/>
        </w:rPr>
        <w:t xml:space="preserve"> are only necessary for undocumented clients. For a study on factors that influence perceptions of illegality,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 xml:space="preserve">René D. Flores &amp; </w:t>
      </w:r>
      <w:proofErr w:type="spellStart"/>
      <w:r>
        <w:rPr>
          <w:rFonts w:ascii="Times New Roman" w:eastAsia="Times New Roman" w:hAnsi="Times New Roman" w:cs="Times New Roman"/>
          <w:sz w:val="20"/>
          <w:szCs w:val="20"/>
        </w:rPr>
        <w:t>Ariela</w:t>
      </w:r>
      <w:proofErr w:type="spellEnd"/>
      <w:r>
        <w:rPr>
          <w:rFonts w:ascii="Times New Roman" w:eastAsia="Times New Roman" w:hAnsi="Times New Roman" w:cs="Times New Roman"/>
          <w:sz w:val="20"/>
          <w:szCs w:val="20"/>
        </w:rPr>
        <w:t xml:space="preserve"> Schachter, </w:t>
      </w:r>
      <w:r>
        <w:rPr>
          <w:rFonts w:ascii="Times New Roman" w:eastAsia="Times New Roman" w:hAnsi="Times New Roman" w:cs="Times New Roman"/>
          <w:i/>
          <w:sz w:val="20"/>
          <w:szCs w:val="20"/>
        </w:rPr>
        <w:t>Examining Americans’ Stereotypes about Immigrant Illegality</w:t>
      </w:r>
      <w:r>
        <w:rPr>
          <w:rFonts w:ascii="Times New Roman" w:eastAsia="Times New Roman" w:hAnsi="Times New Roman" w:cs="Times New Roman"/>
          <w:sz w:val="20"/>
          <w:szCs w:val="20"/>
        </w:rPr>
        <w:t>, 18 Contexts 2 (2019) (finding that survey respondents used inaccurate stereotypes to assess whether people were in the United States legally.)</w:t>
      </w:r>
    </w:p>
  </w:footnote>
  <w:footnote w:id="27">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Appendix A. One outlier is Connecticut, where line attorneys reference a comprehensive guide to the immigration consequences of all state statutes and only consult with experts if the answer is not apparent from that guide. Interview with Andrew O’Shea, Director of Training for Connecticut Public Defenders (April 1, 2025) (notes on file with author). The guide was created by Yale students seven years ago, but the organizations involved have “washed their hands of it” and are unwilling to update the guide. Line attorneys only reach out to experts when the guide does not provide an adequate answer.</w:t>
      </w:r>
    </w:p>
  </w:footnote>
  <w:footnote w:id="28">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Appendix A.</w:t>
      </w:r>
    </w:p>
  </w:footnote>
  <w:footnote w:id="29">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Appendix A.</w:t>
      </w:r>
    </w:p>
  </w:footnote>
  <w:footnote w:id="30">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Email from Julia </w:t>
      </w:r>
      <w:proofErr w:type="spellStart"/>
      <w:r>
        <w:rPr>
          <w:rFonts w:ascii="Times New Roman" w:eastAsia="Times New Roman" w:hAnsi="Times New Roman" w:cs="Times New Roman"/>
          <w:sz w:val="20"/>
          <w:szCs w:val="20"/>
        </w:rPr>
        <w:t>Zalenski</w:t>
      </w:r>
      <w:proofErr w:type="spellEnd"/>
      <w:r>
        <w:rPr>
          <w:rFonts w:ascii="Times New Roman" w:eastAsia="Times New Roman" w:hAnsi="Times New Roman" w:cs="Times New Roman"/>
          <w:sz w:val="20"/>
          <w:szCs w:val="20"/>
        </w:rPr>
        <w:t xml:space="preserve">, an Assistant Public Defender who runs Iowa State Public Defender’s </w:t>
      </w:r>
      <w:proofErr w:type="spellStart"/>
      <w:r>
        <w:rPr>
          <w:rFonts w:ascii="Times New Roman" w:eastAsia="Times New Roman" w:hAnsi="Times New Roman" w:cs="Times New Roman"/>
          <w:sz w:val="20"/>
          <w:szCs w:val="20"/>
        </w:rPr>
        <w:t>crimmigration</w:t>
      </w:r>
      <w:proofErr w:type="spellEnd"/>
      <w:r>
        <w:rPr>
          <w:rFonts w:ascii="Times New Roman" w:eastAsia="Times New Roman" w:hAnsi="Times New Roman" w:cs="Times New Roman"/>
          <w:sz w:val="20"/>
          <w:szCs w:val="20"/>
        </w:rPr>
        <w:t xml:space="preserve"> program (March 27, 2025) (on file with author).</w:t>
      </w:r>
    </w:p>
  </w:footnote>
  <w:footnote w:id="31">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Missouri State Public Defender Guidelines for Representation at 40 (May 2021); email with Greg </w:t>
      </w:r>
      <w:proofErr w:type="spellStart"/>
      <w:r>
        <w:rPr>
          <w:rFonts w:ascii="Times New Roman" w:eastAsia="Times New Roman" w:hAnsi="Times New Roman" w:cs="Times New Roman"/>
          <w:sz w:val="20"/>
          <w:szCs w:val="20"/>
        </w:rPr>
        <w:t>Mermelstein</w:t>
      </w:r>
      <w:proofErr w:type="spellEnd"/>
      <w:r>
        <w:rPr>
          <w:rFonts w:ascii="Times New Roman" w:eastAsia="Times New Roman" w:hAnsi="Times New Roman" w:cs="Times New Roman"/>
          <w:sz w:val="20"/>
          <w:szCs w:val="20"/>
        </w:rPr>
        <w:t>, Deputy Public Defender (March 27, 2025) (notes on file with author).</w:t>
      </w:r>
    </w:p>
  </w:footnote>
  <w:footnote w:id="32">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 e.g.</w:t>
      </w:r>
      <w:r>
        <w:rPr>
          <w:rFonts w:ascii="Times New Roman" w:eastAsia="Times New Roman" w:hAnsi="Times New Roman" w:cs="Times New Roman"/>
          <w:sz w:val="20"/>
          <w:szCs w:val="20"/>
        </w:rPr>
        <w:t>, interview with an anonymous attorney for the New Hampshire Public Defender (April 3, 2025) (notes on file with author).</w:t>
      </w:r>
    </w:p>
  </w:footnote>
  <w:footnote w:id="33">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34">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Interview with Ashley </w:t>
      </w:r>
      <w:proofErr w:type="spellStart"/>
      <w:r>
        <w:rPr>
          <w:rFonts w:ascii="Times New Roman" w:eastAsia="Times New Roman" w:hAnsi="Times New Roman" w:cs="Times New Roman"/>
          <w:sz w:val="20"/>
          <w:szCs w:val="20"/>
        </w:rPr>
        <w:t>Warmeling</w:t>
      </w:r>
      <w:proofErr w:type="spellEnd"/>
      <w:r>
        <w:rPr>
          <w:rFonts w:ascii="Times New Roman" w:eastAsia="Times New Roman" w:hAnsi="Times New Roman" w:cs="Times New Roman"/>
          <w:sz w:val="20"/>
          <w:szCs w:val="20"/>
        </w:rPr>
        <w:t xml:space="preserve"> (May 5, 2025) (notes on file with author).</w:t>
      </w:r>
    </w:p>
  </w:footnote>
  <w:footnote w:id="35">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Interview with Stephanie Wolf, Director of Immigration Services for the Maryland Office of the Public Defender (April 29, 2025) (notes on file with author).</w:t>
      </w:r>
    </w:p>
  </w:footnote>
  <w:footnote w:id="36">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37">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Eagly, </w:t>
      </w:r>
      <w:r>
        <w:rPr>
          <w:rFonts w:ascii="Times New Roman" w:eastAsia="Times New Roman" w:hAnsi="Times New Roman" w:cs="Times New Roman"/>
          <w:i/>
          <w:sz w:val="20"/>
          <w:szCs w:val="20"/>
        </w:rPr>
        <w:t>supra</w:t>
      </w:r>
      <w:r>
        <w:rPr>
          <w:rFonts w:ascii="Times New Roman" w:eastAsia="Times New Roman" w:hAnsi="Times New Roman" w:cs="Times New Roman"/>
          <w:sz w:val="20"/>
          <w:szCs w:val="20"/>
        </w:rPr>
        <w:t>, at 51.</w:t>
      </w:r>
    </w:p>
  </w:footnote>
  <w:footnote w:id="38">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Email from Julia </w:t>
      </w:r>
      <w:proofErr w:type="spellStart"/>
      <w:r>
        <w:rPr>
          <w:rFonts w:ascii="Times New Roman" w:eastAsia="Times New Roman" w:hAnsi="Times New Roman" w:cs="Times New Roman"/>
          <w:sz w:val="20"/>
          <w:szCs w:val="20"/>
        </w:rPr>
        <w:t>Zalenski</w:t>
      </w:r>
      <w:proofErr w:type="spellEnd"/>
      <w:r>
        <w:rPr>
          <w:rFonts w:ascii="Times New Roman" w:eastAsia="Times New Roman" w:hAnsi="Times New Roman" w:cs="Times New Roman"/>
          <w:sz w:val="20"/>
          <w:szCs w:val="20"/>
        </w:rPr>
        <w:t xml:space="preserve">, an Assistant Public Defender who runs Iowa State Public Defender’s </w:t>
      </w:r>
      <w:proofErr w:type="spellStart"/>
      <w:r>
        <w:rPr>
          <w:rFonts w:ascii="Times New Roman" w:eastAsia="Times New Roman" w:hAnsi="Times New Roman" w:cs="Times New Roman"/>
          <w:sz w:val="20"/>
          <w:szCs w:val="20"/>
        </w:rPr>
        <w:t>crimmigration</w:t>
      </w:r>
      <w:proofErr w:type="spellEnd"/>
      <w:r>
        <w:rPr>
          <w:rFonts w:ascii="Times New Roman" w:eastAsia="Times New Roman" w:hAnsi="Times New Roman" w:cs="Times New Roman"/>
          <w:sz w:val="20"/>
          <w:szCs w:val="20"/>
        </w:rPr>
        <w:t xml:space="preserve"> program (March 27, 2025) (on file with author).</w:t>
      </w:r>
    </w:p>
  </w:footnote>
  <w:footnote w:id="39">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Movement lawyers believe that “the best defense for our clients will often require [attorneys] to go beyond traditional courtroom strategies and to work in ways that support the broader movement for immigration justice.” Movement Lawyering in Immigration Defense Presentation at slide 5 (Feb. 18, 2025). For example, San Francisco Public Defender, a well-resourced office focused on holistic representation, advocates in public campaigns and policy advocacy on immigration issues, including work to shut down detention facilities to reduce ICE capacity. </w:t>
      </w:r>
      <w:r>
        <w:rPr>
          <w:rFonts w:ascii="Times New Roman" w:eastAsia="Times New Roman" w:hAnsi="Times New Roman" w:cs="Times New Roman"/>
          <w:i/>
          <w:sz w:val="20"/>
          <w:szCs w:val="20"/>
        </w:rPr>
        <w:t xml:space="preserve">Id. </w:t>
      </w:r>
      <w:r>
        <w:rPr>
          <w:rFonts w:ascii="Times New Roman" w:eastAsia="Times New Roman" w:hAnsi="Times New Roman" w:cs="Times New Roman"/>
          <w:sz w:val="20"/>
          <w:szCs w:val="20"/>
        </w:rPr>
        <w:t>at slides 11 and 12. By engaging in client-centered advocacy beyond criminal trials, the office is able to secure better results for their noncitizen clients.</w:t>
      </w:r>
    </w:p>
  </w:footnote>
  <w:footnote w:id="40">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Interview with CPCS Staff (April 30, 2025); Safe Communities Act, Massachusetts Immigrant &amp; Refugee Advocacy Coalition (Feb. 3, 2025), https://miracoalition.org/news/safe-communities-act/ (explaining the Act).</w:t>
      </w:r>
    </w:p>
  </w:footnote>
  <w:footnote w:id="41">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Interview notes on file with the author (some PDs wished to speak anonymously on certain issues).</w:t>
      </w:r>
    </w:p>
  </w:footnote>
  <w:footnote w:id="42">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Appendix A.</w:t>
      </w:r>
    </w:p>
  </w:footnote>
  <w:footnote w:id="43">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Source anonymous for privacy.</w:t>
      </w:r>
    </w:p>
  </w:footnote>
  <w:footnote w:id="44">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Source anonymous for privacy.</w:t>
      </w:r>
    </w:p>
  </w:footnote>
  <w:footnote w:id="45">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 e.g.,</w:t>
      </w:r>
      <w:r>
        <w:rPr>
          <w:rFonts w:ascii="Times New Roman" w:eastAsia="Times New Roman" w:hAnsi="Times New Roman" w:cs="Times New Roman"/>
          <w:sz w:val="20"/>
          <w:szCs w:val="20"/>
        </w:rPr>
        <w:t xml:space="preserve"> email from Julia </w:t>
      </w:r>
      <w:proofErr w:type="spellStart"/>
      <w:r>
        <w:rPr>
          <w:rFonts w:ascii="Times New Roman" w:eastAsia="Times New Roman" w:hAnsi="Times New Roman" w:cs="Times New Roman"/>
          <w:sz w:val="20"/>
          <w:szCs w:val="20"/>
        </w:rPr>
        <w:t>Zalenski</w:t>
      </w:r>
      <w:proofErr w:type="spellEnd"/>
      <w:r>
        <w:rPr>
          <w:rFonts w:ascii="Times New Roman" w:eastAsia="Times New Roman" w:hAnsi="Times New Roman" w:cs="Times New Roman"/>
          <w:sz w:val="20"/>
          <w:szCs w:val="20"/>
        </w:rPr>
        <w:t xml:space="preserve">, an Assistant Public Defender who runs Iowa State Public Defender’s </w:t>
      </w:r>
      <w:proofErr w:type="spellStart"/>
      <w:r>
        <w:rPr>
          <w:rFonts w:ascii="Times New Roman" w:eastAsia="Times New Roman" w:hAnsi="Times New Roman" w:cs="Times New Roman"/>
          <w:sz w:val="20"/>
          <w:szCs w:val="20"/>
        </w:rPr>
        <w:t>crimmigration</w:t>
      </w:r>
      <w:proofErr w:type="spellEnd"/>
      <w:r>
        <w:rPr>
          <w:rFonts w:ascii="Times New Roman" w:eastAsia="Times New Roman" w:hAnsi="Times New Roman" w:cs="Times New Roman"/>
          <w:sz w:val="20"/>
          <w:szCs w:val="20"/>
        </w:rPr>
        <w:t xml:space="preserve"> program (March 27, 2025) (on file with author).</w:t>
      </w:r>
    </w:p>
  </w:footnote>
  <w:footnote w:id="46">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47">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 e.g.</w:t>
      </w:r>
      <w:r>
        <w:rPr>
          <w:rFonts w:ascii="Times New Roman" w:eastAsia="Times New Roman" w:hAnsi="Times New Roman" w:cs="Times New Roman"/>
          <w:sz w:val="20"/>
          <w:szCs w:val="20"/>
        </w:rPr>
        <w:t>, interview with Dawn Seibert (March 31, 2025) (notes on file with author).</w:t>
      </w:r>
    </w:p>
  </w:footnote>
  <w:footnote w:id="48">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Eagly et al., </w:t>
      </w:r>
      <w:r>
        <w:rPr>
          <w:rFonts w:ascii="Times New Roman" w:eastAsia="Times New Roman" w:hAnsi="Times New Roman" w:cs="Times New Roman"/>
          <w:i/>
          <w:sz w:val="20"/>
          <w:szCs w:val="20"/>
        </w:rPr>
        <w:t>supra</w:t>
      </w:r>
      <w:r>
        <w:rPr>
          <w:rFonts w:ascii="Times New Roman" w:eastAsia="Times New Roman" w:hAnsi="Times New Roman" w:cs="Times New Roman"/>
          <w:sz w:val="20"/>
          <w:szCs w:val="20"/>
        </w:rPr>
        <w:t>, at 55.</w:t>
      </w:r>
    </w:p>
  </w:footnote>
  <w:footnote w:id="49">
    <w:p w:rsidR="008A753C"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Interview with Todd Ewell (April 1, 2025) (notes on file with author).</w:t>
      </w:r>
    </w:p>
  </w:footnote>
  <w:footnote w:id="50">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 xml:space="preserve">Appendix B, using data from Census.gov. </w:t>
      </w:r>
    </w:p>
  </w:footnote>
  <w:footnote w:id="51">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52">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Interview with Dawn Seibert (March 31, 2025) (notes on file with author).</w:t>
      </w:r>
    </w:p>
  </w:footnote>
  <w:footnote w:id="53">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Sixty-eight percent of North Dakota voters voted for Donald Trump in 2024, for example, compared to only 33 percent of Vermont voters. </w:t>
      </w:r>
      <w:r>
        <w:rPr>
          <w:rFonts w:ascii="Times New Roman" w:eastAsia="Times New Roman" w:hAnsi="Times New Roman" w:cs="Times New Roman"/>
          <w:i/>
          <w:sz w:val="20"/>
          <w:szCs w:val="20"/>
        </w:rPr>
        <w:t>Presidential Election Result: Trump Wins</w:t>
      </w:r>
      <w:r>
        <w:rPr>
          <w:rFonts w:ascii="Times New Roman" w:eastAsia="Times New Roman" w:hAnsi="Times New Roman" w:cs="Times New Roman"/>
          <w:sz w:val="20"/>
          <w:szCs w:val="20"/>
        </w:rPr>
        <w:t>, The New York Times (March 4, 2025) https://www.nytimes.com/interactive/2024/11/05/us/elections/results-president.html.</w:t>
      </w:r>
    </w:p>
  </w:footnote>
  <w:footnote w:id="54">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North Dakota’s public defense budget is so low that the Commission itself is publicly implying that its system may not pass constitutional challenge. SB 2022, Senate Appropriations Report, Government Operations Division (January 13, 2025), https://ndlegis.gov/assembly/69-2025/testimony/SAPPGOV-2022-20250113-28525-F-FINCK_TRAVIS_W.pdf.</w:t>
      </w:r>
    </w:p>
  </w:footnote>
  <w:footnote w:id="55">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Interview with Kate Drury, one of two immigration practice coordinators for the State Public Defender Administration in Wisconsin (April 2, 2025) (notes on file with author); interview with William Ward, State Public Defender for Minnesota (March 27, 2025) (notes on file with author).</w:t>
      </w:r>
    </w:p>
  </w:footnote>
  <w:footnote w:id="56">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David Long et al., </w:t>
      </w:r>
      <w:r>
        <w:rPr>
          <w:rFonts w:ascii="Times New Roman" w:eastAsia="Times New Roman" w:hAnsi="Times New Roman" w:cs="Times New Roman"/>
          <w:i/>
          <w:sz w:val="20"/>
          <w:szCs w:val="20"/>
        </w:rPr>
        <w:t xml:space="preserve">Wisconsin’s </w:t>
      </w:r>
      <w:proofErr w:type="gramStart"/>
      <w:r>
        <w:rPr>
          <w:rFonts w:ascii="Times New Roman" w:eastAsia="Times New Roman" w:hAnsi="Times New Roman" w:cs="Times New Roman"/>
          <w:i/>
          <w:sz w:val="20"/>
          <w:szCs w:val="20"/>
        </w:rPr>
        <w:t>Foreign Born</w:t>
      </w:r>
      <w:proofErr w:type="gramEnd"/>
      <w:r>
        <w:rPr>
          <w:rFonts w:ascii="Times New Roman" w:eastAsia="Times New Roman" w:hAnsi="Times New Roman" w:cs="Times New Roman"/>
          <w:i/>
          <w:sz w:val="20"/>
          <w:szCs w:val="20"/>
        </w:rPr>
        <w:t xml:space="preserve"> Population</w:t>
      </w:r>
      <w:r>
        <w:rPr>
          <w:rFonts w:ascii="Times New Roman" w:eastAsia="Times New Roman" w:hAnsi="Times New Roman" w:cs="Times New Roman"/>
          <w:sz w:val="20"/>
          <w:szCs w:val="20"/>
        </w:rPr>
        <w:t xml:space="preserve">, Applied Population Lab, https://apl.wisc.edu/data-briefs/foreign-born-wi-17; </w:t>
      </w:r>
      <w:r>
        <w:rPr>
          <w:rFonts w:ascii="Times New Roman" w:eastAsia="Times New Roman" w:hAnsi="Times New Roman" w:cs="Times New Roman"/>
          <w:i/>
          <w:sz w:val="20"/>
          <w:szCs w:val="20"/>
        </w:rPr>
        <w:t>Foreign Born Population by Birthplace</w:t>
      </w:r>
      <w:r>
        <w:rPr>
          <w:rFonts w:ascii="Times New Roman" w:eastAsia="Times New Roman" w:hAnsi="Times New Roman" w:cs="Times New Roman"/>
          <w:sz w:val="20"/>
          <w:szCs w:val="20"/>
        </w:rPr>
        <w:t xml:space="preserve">, Minnesota Compass, http://mncompass.org/chart/k264/population-trends#1-5581-g. </w:t>
      </w:r>
    </w:p>
  </w:footnote>
  <w:footnote w:id="57">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Minnesota spent $124 million on public defense in 2024, while Wisconsin spent $127 million.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About Us, Minnesota Board of Public Defense, https://www.pubdef.state.mn.us/about-us; State of Wisconsin Public Defender Board, Agency Budget Request 2025-2027 at 7, https://doa.wi.gov/budget/SBO/2025-27%20550%20SPD%20Budget%20RequestNR.pdf.</w:t>
      </w:r>
    </w:p>
  </w:footnote>
  <w:footnote w:id="58">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Fifty percent of voters in Wisconsin picked Trump, compared to 47 percent in Minnesota. </w:t>
      </w:r>
      <w:r>
        <w:rPr>
          <w:rFonts w:ascii="Times New Roman" w:eastAsia="Times New Roman" w:hAnsi="Times New Roman" w:cs="Times New Roman"/>
          <w:i/>
          <w:sz w:val="20"/>
          <w:szCs w:val="20"/>
        </w:rPr>
        <w:t>Presidential Election Result: Trump Wins</w:t>
      </w:r>
      <w:r>
        <w:rPr>
          <w:rFonts w:ascii="Times New Roman" w:eastAsia="Times New Roman" w:hAnsi="Times New Roman" w:cs="Times New Roman"/>
          <w:sz w:val="20"/>
          <w:szCs w:val="20"/>
        </w:rPr>
        <w:t>, The New York Times (March 4, 2025) https://www.nytimes.com/interactive/2024/11/05/us/elections/results-president.html.</w:t>
      </w:r>
    </w:p>
  </w:footnote>
  <w:footnote w:id="59">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Interview with Kate Drury (April 2, 2025) (notes on file with author).</w:t>
      </w:r>
    </w:p>
  </w:footnote>
  <w:footnote w:id="60">
    <w:p w:rsidR="008A753C"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Interview with William Ward, State Public Defender for Minnesota (March 27, 2025) (notes on file with author).</w:t>
      </w:r>
    </w:p>
  </w:footnote>
  <w:footnote w:id="61">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62">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63">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64">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65">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66">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w:t>
      </w:r>
      <w:r>
        <w:rPr>
          <w:rFonts w:ascii="Times New Roman" w:eastAsia="Times New Roman" w:hAnsi="Times New Roman" w:cs="Times New Roman"/>
          <w:sz w:val="20"/>
          <w:szCs w:val="20"/>
        </w:rPr>
        <w:t>Appendix B.</w:t>
      </w:r>
    </w:p>
  </w:footnote>
  <w:footnote w:id="67">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Interview with Kate Drury (April 2, 2025) (notes on file with author).</w:t>
      </w:r>
    </w:p>
  </w:footnote>
  <w:footnote w:id="68">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69">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70">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Id. </w:t>
      </w:r>
      <w:r>
        <w:rPr>
          <w:rFonts w:ascii="Times New Roman" w:eastAsia="Times New Roman" w:hAnsi="Times New Roman" w:cs="Times New Roman"/>
          <w:sz w:val="20"/>
          <w:szCs w:val="20"/>
        </w:rPr>
        <w:t>at 64.</w:t>
      </w:r>
    </w:p>
  </w:footnote>
  <w:footnote w:id="71">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72">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Interview with Hayley Cheng, Assistant Public Defender for the state of Hawaii (April 8, 2025) (notes on file with author); interview with Dawn Seibert (March 31, 2025) (notes on file with author).</w:t>
      </w:r>
    </w:p>
  </w:footnote>
  <w:footnote w:id="73">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Interview with Dawn Seibert (March 31, 2025) (notes on file with author).</w:t>
      </w:r>
    </w:p>
  </w:footnote>
  <w:footnote w:id="74">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Interview with Hayley Cheng, Assistant Public Defender for the state of Hawaii (April 8, 2025) (notes on file with author); Appendix B.</w:t>
      </w:r>
    </w:p>
  </w:footnote>
  <w:footnote w:id="75">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Appendix B.</w:t>
      </w:r>
    </w:p>
  </w:footnote>
  <w:footnote w:id="76">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 e.g.</w:t>
      </w:r>
      <w:r>
        <w:rPr>
          <w:rFonts w:ascii="Times New Roman" w:eastAsia="Times New Roman" w:hAnsi="Times New Roman" w:cs="Times New Roman"/>
          <w:sz w:val="20"/>
          <w:szCs w:val="20"/>
        </w:rPr>
        <w:t xml:space="preserve">, The White House, </w:t>
      </w:r>
      <w:r>
        <w:rPr>
          <w:rFonts w:ascii="Times New Roman" w:eastAsia="Times New Roman" w:hAnsi="Times New Roman" w:cs="Times New Roman"/>
          <w:i/>
          <w:sz w:val="20"/>
          <w:szCs w:val="20"/>
        </w:rPr>
        <w:t xml:space="preserve">Invocation of the Alien Enemies Act Regarding the Invasion of the United States by </w:t>
      </w:r>
      <w:proofErr w:type="spellStart"/>
      <w:r>
        <w:rPr>
          <w:rFonts w:ascii="Times New Roman" w:eastAsia="Times New Roman" w:hAnsi="Times New Roman" w:cs="Times New Roman"/>
          <w:i/>
          <w:sz w:val="20"/>
          <w:szCs w:val="20"/>
        </w:rPr>
        <w:t>Tren</w:t>
      </w:r>
      <w:proofErr w:type="spellEnd"/>
      <w:r>
        <w:rPr>
          <w:rFonts w:ascii="Times New Roman" w:eastAsia="Times New Roman" w:hAnsi="Times New Roman" w:cs="Times New Roman"/>
          <w:i/>
          <w:sz w:val="20"/>
          <w:szCs w:val="20"/>
        </w:rPr>
        <w:t xml:space="preserve"> de Aragua</w:t>
      </w:r>
      <w:r>
        <w:rPr>
          <w:rFonts w:ascii="Times New Roman" w:eastAsia="Times New Roman" w:hAnsi="Times New Roman" w:cs="Times New Roman"/>
          <w:sz w:val="20"/>
          <w:szCs w:val="20"/>
        </w:rPr>
        <w:t>, WhiteHouse.gov, https://www.whitehouse.gov/presidential-actions/2025/03/invocation-of-the-alien-enemies-act-regarding-the-invasion-of-the-united-states-by-tren-de-aragua/ (explaining the President’s invocation of the Alien Enemies Act, resulting in significantly reduced due process protections for some noncitizens.)</w:t>
      </w:r>
    </w:p>
  </w:footnote>
  <w:footnote w:id="77">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Email from Darcy Fisher (May 14, 2025) (notes on file with author).</w:t>
      </w:r>
    </w:p>
  </w:footnote>
  <w:footnote w:id="78">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Anonymous sources for privacy regarding all actions of the federal government. An attorney told me she was seeing such as increased stops for traffic violations “in hopes of getting people into the ICE pipeline.” She also said that police were proactively calling ICE, which was a new practice in her experience.</w:t>
      </w:r>
    </w:p>
  </w:footnote>
  <w:footnote w:id="79">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Interview with Ashley </w:t>
      </w:r>
      <w:proofErr w:type="spellStart"/>
      <w:r>
        <w:rPr>
          <w:rFonts w:ascii="Times New Roman" w:eastAsia="Times New Roman" w:hAnsi="Times New Roman" w:cs="Times New Roman"/>
          <w:sz w:val="20"/>
          <w:szCs w:val="20"/>
        </w:rPr>
        <w:t>Warmeling</w:t>
      </w:r>
      <w:proofErr w:type="spellEnd"/>
      <w:r>
        <w:rPr>
          <w:rFonts w:ascii="Times New Roman" w:eastAsia="Times New Roman" w:hAnsi="Times New Roman" w:cs="Times New Roman"/>
          <w:sz w:val="20"/>
          <w:szCs w:val="20"/>
        </w:rPr>
        <w:t xml:space="preserve"> (May 5, 2025) (notes on file with author).</w:t>
      </w:r>
    </w:p>
  </w:footnote>
  <w:footnote w:id="80">
    <w:p w:rsidR="008A753C"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81">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Minnesota tracks birthplace information in its case management software. Interview with William Ward (notes on file with author). Many other states use google forms and email memos for experts and line attorneys to communicate about client immigration status. However, some states, like Connecticut, do not track client immigration status.  Interview with Andrew O’Shea, Director of Training, Office of the Chief Public Defender (notes on file with author). One expert, who asked to remain anonymous, explained that tracking client status creates a risk of that information being accessed to deport clients.</w:t>
      </w:r>
    </w:p>
  </w:footnote>
  <w:footnote w:id="82">
    <w:p w:rsidR="008A753C"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Interview with William Ward (March 27, 2025) (notes on file with author); interview with Stephanie Wolf (April 29, 2025) (notes on file with author).</w:t>
      </w:r>
    </w:p>
  </w:footnote>
  <w:footnote w:id="83">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Lecture by Professor García Hernández, March 4, 2025.</w:t>
      </w:r>
    </w:p>
  </w:footnote>
  <w:footnote w:id="84">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Adrian </w:t>
      </w:r>
      <w:proofErr w:type="spellStart"/>
      <w:r>
        <w:rPr>
          <w:rFonts w:ascii="Times New Roman" w:eastAsia="Times New Roman" w:hAnsi="Times New Roman" w:cs="Times New Roman"/>
          <w:sz w:val="20"/>
          <w:szCs w:val="20"/>
        </w:rPr>
        <w:t>Florido</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‘Antagonized for Being Hispanic’: Growing Claims of Racial Profiling in LA Raids</w:t>
      </w:r>
      <w:r>
        <w:rPr>
          <w:rFonts w:ascii="Times New Roman" w:eastAsia="Times New Roman" w:hAnsi="Times New Roman" w:cs="Times New Roman"/>
          <w:sz w:val="20"/>
          <w:szCs w:val="20"/>
        </w:rPr>
        <w:t>, Jul. 4, 2025, N.P.R., https://www.npr.org/2025/07/04/nx-s1-5438396/antagonized-for-being-hispanic-growing-claims-of-racial-profiling-in-la-raids.</w:t>
      </w:r>
    </w:p>
  </w:footnote>
  <w:footnote w:id="85">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Ko Lyn </w:t>
      </w:r>
      <w:proofErr w:type="spellStart"/>
      <w:r>
        <w:rPr>
          <w:rFonts w:ascii="Times New Roman" w:eastAsia="Times New Roman" w:hAnsi="Times New Roman" w:cs="Times New Roman"/>
          <w:sz w:val="20"/>
          <w:szCs w:val="20"/>
        </w:rPr>
        <w:t>Cheang</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This Man is a U.S. Citizen by Birth. Why Did ICE Mark Him for Deportation-</w:t>
      </w:r>
      <w:proofErr w:type="gramStart"/>
      <w:r>
        <w:rPr>
          <w:rFonts w:ascii="Times New Roman" w:eastAsia="Times New Roman" w:hAnsi="Times New Roman" w:cs="Times New Roman"/>
          <w:i/>
          <w:sz w:val="20"/>
          <w:szCs w:val="20"/>
        </w:rPr>
        <w:t>Again?</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Jul. 25, 2025, S.F. Chron., https://www.sfchronicle.com/us-world/article/deport-citizen-immigration-ice-20774259.php.</w:t>
      </w:r>
    </w:p>
  </w:footnote>
  <w:footnote w:id="86">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Complaint Exposes Torture and Cruel and Degrading Treatment at Louisiana Immigration Detention Center</w:t>
      </w:r>
      <w:r>
        <w:rPr>
          <w:rFonts w:ascii="Times New Roman" w:eastAsia="Times New Roman" w:hAnsi="Times New Roman" w:cs="Times New Roman"/>
          <w:sz w:val="20"/>
          <w:szCs w:val="20"/>
        </w:rPr>
        <w:t xml:space="preserve">, Jan. 8, 2025, Robert F. Kennedy Human Rights, https://rfkhumanrights.org/our-voices/complaint-exposes-torture-and-cruel-and-degrading-treatment-at-louisiana-immigration-detention-center/. </w:t>
      </w:r>
    </w:p>
  </w:footnote>
  <w:footnote w:id="87">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See, e.g., </w:t>
      </w:r>
      <w:r>
        <w:rPr>
          <w:rFonts w:ascii="Times New Roman" w:eastAsia="Times New Roman" w:hAnsi="Times New Roman" w:cs="Times New Roman"/>
          <w:sz w:val="20"/>
          <w:szCs w:val="20"/>
        </w:rPr>
        <w:t>phone call with anonymous public defender in New Mexico (May 8, 2025) (notes on file with author).</w:t>
      </w:r>
    </w:p>
  </w:footnote>
  <w:footnote w:id="88">
    <w:p w:rsidR="008A753C"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Id.</w:t>
      </w:r>
    </w:p>
  </w:footnote>
  <w:footnote w:id="89">
    <w:p w:rsidR="008A753C"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Interview with Dawn Seibert (March 31, 2025) (notes on file with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D1113"/>
    <w:multiLevelType w:val="multilevel"/>
    <w:tmpl w:val="6AE42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246641"/>
    <w:multiLevelType w:val="multilevel"/>
    <w:tmpl w:val="237E212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335454684">
    <w:abstractNumId w:val="1"/>
  </w:num>
  <w:num w:numId="2" w16cid:durableId="167249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3C"/>
    <w:rsid w:val="00743E4C"/>
    <w:rsid w:val="008A753C"/>
    <w:rsid w:val="00B605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BE4776D"/>
  <w15:docId w15:val="{5F907DB0-ABDB-9248-B6E2-0649BE4B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3879</Words>
  <Characters>22115</Characters>
  <Application>Microsoft Office Word</Application>
  <DocSecurity>0</DocSecurity>
  <Lines>184</Lines>
  <Paragraphs>51</Paragraphs>
  <ScaleCrop>false</ScaleCrop>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Caitlin Andersen</cp:lastModifiedBy>
  <cp:revision>2</cp:revision>
  <dcterms:created xsi:type="dcterms:W3CDTF">2025-10-29T00:12:00Z</dcterms:created>
  <dcterms:modified xsi:type="dcterms:W3CDTF">2025-10-29T00:15:00Z</dcterms:modified>
</cp:coreProperties>
</file>